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BF8FB" w14:textId="77777777" w:rsidR="004A5663" w:rsidRPr="0055663D" w:rsidRDefault="007C4804" w:rsidP="002E2770">
      <w:pPr>
        <w:pStyle w:val="Portadaarriba"/>
        <w:pBdr>
          <w:bottom w:val="none" w:sz="0" w:space="0" w:color="auto"/>
        </w:pBdr>
        <w:spacing w:before="1080" w:after="1080"/>
        <w:rPr>
          <w:rFonts w:eastAsia="Calibri" w:cs="Arial"/>
          <w:sz w:val="48"/>
          <w:szCs w:val="56"/>
          <w:lang w:eastAsia="en-US" w:bidi="en-US"/>
        </w:rPr>
      </w:pPr>
      <w:r w:rsidRPr="0055663D">
        <w:rPr>
          <w:rFonts w:eastAsia="Calibri" w:cs="Arial"/>
          <w:sz w:val="48"/>
          <w:szCs w:val="56"/>
          <w:lang w:eastAsia="en-US" w:bidi="en-US"/>
        </w:rPr>
        <w:t xml:space="preserve">ANEXO </w:t>
      </w:r>
      <w:r>
        <w:rPr>
          <w:rFonts w:eastAsia="Calibri" w:cs="Arial"/>
          <w:sz w:val="48"/>
          <w:szCs w:val="56"/>
          <w:lang w:eastAsia="en-US" w:bidi="en-US"/>
        </w:rPr>
        <w:t>VI.2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</w:t>
      </w:r>
      <w:r>
        <w:rPr>
          <w:rFonts w:eastAsia="Calibri" w:cs="Arial"/>
          <w:sz w:val="48"/>
          <w:szCs w:val="56"/>
          <w:lang w:eastAsia="en-US" w:bidi="en-US"/>
        </w:rPr>
        <w:br/>
      </w:r>
      <w:r w:rsidR="00D90EF6">
        <w:rPr>
          <w:rFonts w:eastAsia="Calibri" w:cs="Arial"/>
          <w:sz w:val="48"/>
          <w:szCs w:val="56"/>
          <w:lang w:eastAsia="en-US" w:bidi="en-US"/>
        </w:rPr>
        <w:t>Programa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de enteros mixtos</w:t>
      </w:r>
    </w:p>
    <w:p w14:paraId="4D2BA401" w14:textId="32C1D520" w:rsidR="00165959" w:rsidRPr="002E2770" w:rsidRDefault="003C3324" w:rsidP="002E2770">
      <w:pPr>
        <w:pStyle w:val="Texto"/>
        <w:spacing w:before="180" w:after="120" w:line="240" w:lineRule="auto"/>
        <w:ind w:firstLine="0"/>
        <w:rPr>
          <w:rFonts w:asciiTheme="minorHAnsi" w:eastAsia="Calibri" w:hAnsiTheme="minorHAnsi"/>
          <w:sz w:val="24"/>
          <w:szCs w:val="22"/>
          <w:lang w:val="es-MX" w:eastAsia="en-US" w:bidi="en-US"/>
        </w:rPr>
      </w:pP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A continuación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>,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se presenta la fo</w:t>
      </w:r>
      <w:r w:rsidR="00FD03D0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rmulación matemática 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correspondiente al Programa de Enteros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Mixtos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de conformidad con lo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señalad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en el 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>n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umeral</w:t>
      </w:r>
      <w:r w:rsidR="00F033D1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5.7.5 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y el Anexo 2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de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l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Manual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de Subastas de Largo Plazo</w:t>
      </w:r>
      <w:r w:rsidR="003D2F3D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así como el </w:t>
      </w:r>
      <w:r w:rsidR="00CD6036">
        <w:rPr>
          <w:rFonts w:asciiTheme="minorHAnsi" w:eastAsia="Calibri" w:hAnsiTheme="minorHAnsi"/>
          <w:sz w:val="24"/>
          <w:szCs w:val="22"/>
          <w:lang w:val="es-MX" w:eastAsia="en-US" w:bidi="en-US"/>
        </w:rPr>
        <w:t>n</w:t>
      </w:r>
      <w:r w:rsidR="003D2F3D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umeral 6.5.3 de</w:t>
      </w:r>
      <w:r w:rsidR="003D2F3D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las Bases de Licitación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:</w:t>
      </w:r>
    </w:p>
    <w:p w14:paraId="66711F94" w14:textId="77777777" w:rsidR="00FD03D0" w:rsidRPr="002E2770" w:rsidRDefault="00FD03D0" w:rsidP="002E2770">
      <w:pPr>
        <w:pStyle w:val="Estilo1"/>
      </w:pPr>
      <w:r w:rsidRPr="002E2770">
        <w:t>ÍNDICES</w:t>
      </w:r>
    </w:p>
    <w:p w14:paraId="1CD54E1F" w14:textId="77777777" w:rsidR="00FD03D0" w:rsidRPr="008A7165" w:rsidRDefault="00FD03D0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zp</w:t>
      </w:r>
      <w:r w:rsidRPr="002E2770">
        <w:rPr>
          <w:rFonts w:asciiTheme="minorHAnsi" w:hAnsiTheme="minorHAnsi"/>
          <w:sz w:val="22"/>
        </w:rPr>
        <w:tab/>
        <w:t>Zona de Potencia</w:t>
      </w:r>
    </w:p>
    <w:p w14:paraId="3E22ABE4" w14:textId="77777777"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14:paraId="53291F3F" w14:textId="77777777" w:rsidR="00FD03D0" w:rsidRDefault="00FD03D0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ze</w:t>
      </w:r>
      <w:r w:rsidRPr="002E2770">
        <w:rPr>
          <w:rFonts w:asciiTheme="minorHAnsi" w:hAnsiTheme="minorHAnsi"/>
          <w:sz w:val="22"/>
        </w:rPr>
        <w:tab/>
        <w:t>Zona de Exportación</w:t>
      </w:r>
    </w:p>
    <w:p w14:paraId="58F1E32C" w14:textId="77777777" w:rsidR="00883ABE" w:rsidRPr="008A7165" w:rsidRDefault="00883ABE" w:rsidP="002E2770">
      <w:pPr>
        <w:jc w:val="both"/>
        <w:rPr>
          <w:rFonts w:asciiTheme="minorHAnsi" w:hAnsiTheme="minorHAnsi"/>
          <w:sz w:val="22"/>
        </w:rPr>
      </w:pPr>
    </w:p>
    <w:p w14:paraId="6BA0906C" w14:textId="77777777" w:rsidR="00FD03D0" w:rsidRPr="008A7165" w:rsidRDefault="00FD03D0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zi</w:t>
      </w:r>
      <w:r w:rsidRPr="002E2770">
        <w:rPr>
          <w:rFonts w:asciiTheme="minorHAnsi" w:hAnsiTheme="minorHAnsi"/>
          <w:sz w:val="22"/>
        </w:rPr>
        <w:tab/>
        <w:t>Zona de Interconexión</w:t>
      </w:r>
    </w:p>
    <w:p w14:paraId="09D16597" w14:textId="77777777" w:rsidR="00FD03D0" w:rsidRPr="008A7165" w:rsidRDefault="00FD03D0" w:rsidP="002E2770">
      <w:pPr>
        <w:jc w:val="both"/>
        <w:rPr>
          <w:rFonts w:asciiTheme="minorHAnsi" w:hAnsiTheme="minorHAnsi"/>
          <w:sz w:val="22"/>
        </w:rPr>
      </w:pPr>
    </w:p>
    <w:p w14:paraId="68B38090" w14:textId="2816CB02" w:rsidR="00883ABE" w:rsidRDefault="008E4EB3" w:rsidP="002E2770">
      <w:pPr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zpr</w:t>
      </w:r>
      <w:r w:rsidRPr="002E2770">
        <w:rPr>
          <w:rFonts w:asciiTheme="minorHAnsi" w:hAnsiTheme="minorHAnsi"/>
          <w:sz w:val="22"/>
        </w:rPr>
        <w:tab/>
        <w:t>Zona de Precio</w:t>
      </w:r>
    </w:p>
    <w:p w14:paraId="4F26EB05" w14:textId="77777777" w:rsidR="00883ABE" w:rsidRDefault="00883ABE" w:rsidP="002E2770">
      <w:pPr>
        <w:jc w:val="both"/>
        <w:rPr>
          <w:rFonts w:asciiTheme="minorHAnsi" w:hAnsiTheme="minorHAnsi"/>
          <w:sz w:val="22"/>
        </w:rPr>
      </w:pPr>
    </w:p>
    <w:p w14:paraId="41330A20" w14:textId="4957FA3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bp</w:t>
      </w:r>
      <w:r w:rsidRPr="002E2770">
        <w:rPr>
          <w:rFonts w:asciiTheme="minorHAnsi" w:hAnsiTheme="minorHAnsi"/>
          <w:sz w:val="22"/>
        </w:rPr>
        <w:tab/>
        <w:t>banda</w:t>
      </w:r>
      <w:r w:rsidR="008A5394" w:rsidRPr="002E2770">
        <w:rPr>
          <w:rFonts w:asciiTheme="minorHAnsi" w:hAnsiTheme="minorHAnsi"/>
          <w:sz w:val="22"/>
        </w:rPr>
        <w:t xml:space="preserve"> (</w:t>
      </w:r>
      <w:r w:rsidR="002E2770">
        <w:rPr>
          <w:rFonts w:asciiTheme="minorHAnsi" w:hAnsiTheme="minorHAnsi"/>
          <w:sz w:val="22"/>
        </w:rPr>
        <w:t>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Potencia</w:t>
      </w:r>
    </w:p>
    <w:p w14:paraId="5E185746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66D8F69D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be</w:t>
      </w:r>
      <w:r w:rsidRPr="002E2770">
        <w:rPr>
          <w:rFonts w:asciiTheme="minorHAnsi" w:hAnsiTheme="minorHAnsi"/>
          <w:sz w:val="22"/>
        </w:rPr>
        <w:tab/>
      </w:r>
      <w:r w:rsidR="008A5394" w:rsidRPr="002E2770">
        <w:rPr>
          <w:rFonts w:asciiTheme="minorHAnsi" w:hAnsiTheme="minorHAnsi"/>
          <w:sz w:val="22"/>
        </w:rPr>
        <w:t>banda (</w:t>
      </w:r>
      <w:r w:rsidR="002E2770">
        <w:rPr>
          <w:rFonts w:asciiTheme="minorHAnsi" w:hAnsiTheme="minorHAnsi"/>
          <w:sz w:val="22"/>
        </w:rPr>
        <w:t>O</w:t>
      </w:r>
      <w:r w:rsidRPr="002E2770">
        <w:rPr>
          <w:rFonts w:asciiTheme="minorHAnsi" w:hAnsiTheme="minorHAnsi"/>
          <w:sz w:val="22"/>
        </w:rPr>
        <w:t xml:space="preserve">ferta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Energía Eléctrica Acumulable</w:t>
      </w:r>
    </w:p>
    <w:p w14:paraId="2C79CB3D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776B3B5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bc</w:t>
      </w:r>
      <w:r w:rsidRPr="002E2770">
        <w:rPr>
          <w:rFonts w:asciiTheme="minorHAnsi" w:hAnsiTheme="minorHAnsi"/>
          <w:sz w:val="22"/>
        </w:rPr>
        <w:tab/>
        <w:t>banda</w:t>
      </w:r>
      <w:r w:rsidR="002E2770">
        <w:rPr>
          <w:rFonts w:asciiTheme="minorHAnsi" w:hAnsiTheme="minorHAnsi"/>
          <w:sz w:val="22"/>
        </w:rPr>
        <w:t xml:space="preserve"> (O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CELs</w:t>
      </w:r>
    </w:p>
    <w:p w14:paraId="447CA76F" w14:textId="77777777" w:rsidR="008E4EB3" w:rsidRPr="002E2770" w:rsidRDefault="008E4EB3" w:rsidP="002E2770">
      <w:pPr>
        <w:jc w:val="both"/>
        <w:rPr>
          <w:rFonts w:asciiTheme="minorHAnsi" w:hAnsiTheme="minorHAnsi"/>
          <w:sz w:val="22"/>
        </w:rPr>
      </w:pPr>
    </w:p>
    <w:p w14:paraId="7D301387" w14:textId="77777777" w:rsidR="00FD03D0" w:rsidRPr="002E2770" w:rsidRDefault="00FD03D0" w:rsidP="002E2770">
      <w:pPr>
        <w:ind w:left="705" w:hanging="705"/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t>p,</w:t>
      </w:r>
      <w:r w:rsidR="008E4EB3">
        <w:rPr>
          <w:rFonts w:asciiTheme="minorHAnsi" w:hAnsiTheme="minorHAnsi"/>
          <w:sz w:val="22"/>
        </w:rPr>
        <w:t xml:space="preserve"> </w:t>
      </w:r>
      <w:r w:rsidRPr="002E2770">
        <w:rPr>
          <w:rFonts w:asciiTheme="minorHAnsi" w:hAnsiTheme="minorHAnsi"/>
          <w:sz w:val="22"/>
        </w:rPr>
        <w:t>pi</w:t>
      </w:r>
      <w:r w:rsidRPr="002E2770">
        <w:rPr>
          <w:rFonts w:asciiTheme="minorHAnsi" w:hAnsiTheme="minorHAnsi"/>
          <w:sz w:val="22"/>
        </w:rPr>
        <w:tab/>
        <w:t xml:space="preserve">Paquete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>)</w:t>
      </w:r>
      <w:r w:rsidR="00A13DE3" w:rsidRPr="002E2770">
        <w:rPr>
          <w:rFonts w:asciiTheme="minorHAnsi" w:hAnsiTheme="minorHAnsi"/>
          <w:sz w:val="22"/>
        </w:rPr>
        <w:t xml:space="preserve">. En el modelo de optimización, se podrán </w:t>
      </w:r>
      <w:r w:rsidR="00CF0B12" w:rsidRPr="002E2770">
        <w:rPr>
          <w:rFonts w:asciiTheme="minorHAnsi" w:hAnsiTheme="minorHAnsi"/>
          <w:sz w:val="22"/>
        </w:rPr>
        <w:t>identificar</w:t>
      </w:r>
      <w:r w:rsidR="00A13DE3" w:rsidRPr="002E2770">
        <w:rPr>
          <w:rFonts w:asciiTheme="minorHAnsi" w:hAnsiTheme="minorHAnsi"/>
          <w:sz w:val="22"/>
        </w:rPr>
        <w:t xml:space="preserve"> las ofertas de venta con un índice adicional a fin de </w:t>
      </w:r>
      <w:r w:rsidR="00CF0B12" w:rsidRPr="002E2770">
        <w:rPr>
          <w:rFonts w:asciiTheme="minorHAnsi" w:hAnsiTheme="minorHAnsi"/>
          <w:sz w:val="22"/>
        </w:rPr>
        <w:t>denotar</w:t>
      </w:r>
      <w:r w:rsidR="00A13DE3" w:rsidRPr="002E2770">
        <w:rPr>
          <w:rFonts w:asciiTheme="minorHAnsi" w:hAnsiTheme="minorHAnsi"/>
          <w:sz w:val="22"/>
        </w:rPr>
        <w:t xml:space="preserve"> el Licitante que realizó cada oferta.</w:t>
      </w:r>
    </w:p>
    <w:p w14:paraId="386A29D0" w14:textId="77777777"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14:paraId="5BD2EF7F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oci</w:t>
      </w:r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condicionadas</w:t>
      </w:r>
    </w:p>
    <w:p w14:paraId="463ABA4C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609C34F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omei</w:t>
      </w:r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o más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mutuamente excluyentes</w:t>
      </w:r>
    </w:p>
    <w:p w14:paraId="4F969566" w14:textId="77777777"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14:paraId="5EEE52E1" w14:textId="77777777" w:rsidR="00B92A63" w:rsidRPr="002E2770" w:rsidRDefault="00B92A63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c</w:t>
      </w:r>
      <w:r w:rsidRPr="002E2770">
        <w:rPr>
          <w:rFonts w:asciiTheme="minorHAnsi" w:hAnsiTheme="minorHAnsi"/>
          <w:sz w:val="22"/>
        </w:rPr>
        <w:tab/>
        <w:t>Central</w:t>
      </w:r>
      <w:r w:rsidR="008E4EB3">
        <w:rPr>
          <w:rFonts w:asciiTheme="minorHAnsi" w:hAnsiTheme="minorHAnsi"/>
          <w:sz w:val="22"/>
        </w:rPr>
        <w:t xml:space="preserve"> Eléctrica</w:t>
      </w:r>
      <w:r w:rsidRPr="002E2770">
        <w:rPr>
          <w:rFonts w:asciiTheme="minorHAnsi" w:hAnsiTheme="minorHAnsi"/>
          <w:sz w:val="22"/>
        </w:rPr>
        <w:t xml:space="preserve">, </w:t>
      </w:r>
      <w:r w:rsidR="00511ACA" w:rsidRPr="002E2770">
        <w:rPr>
          <w:rFonts w:asciiTheme="minorHAnsi" w:hAnsiTheme="minorHAnsi"/>
          <w:sz w:val="22"/>
        </w:rPr>
        <w:t xml:space="preserve">la cual </w:t>
      </w:r>
      <w:r w:rsidR="008E4EB3">
        <w:rPr>
          <w:rFonts w:asciiTheme="minorHAnsi" w:hAnsiTheme="minorHAnsi"/>
          <w:sz w:val="22"/>
        </w:rPr>
        <w:t>está relacionado con</w:t>
      </w:r>
      <w:r w:rsidR="008E4EB3" w:rsidRPr="002E2770">
        <w:rPr>
          <w:rFonts w:asciiTheme="minorHAnsi" w:hAnsiTheme="minorHAnsi"/>
          <w:sz w:val="22"/>
        </w:rPr>
        <w:t xml:space="preserve"> </w:t>
      </w:r>
      <w:r w:rsidR="00511ACA" w:rsidRPr="002E2770">
        <w:rPr>
          <w:rFonts w:asciiTheme="minorHAnsi" w:hAnsiTheme="minorHAnsi"/>
          <w:sz w:val="22"/>
        </w:rPr>
        <w:t xml:space="preserve"> uno o más Paquetes (o</w:t>
      </w:r>
      <w:r w:rsidRPr="002E2770">
        <w:rPr>
          <w:rFonts w:asciiTheme="minorHAnsi" w:hAnsiTheme="minorHAnsi"/>
          <w:sz w:val="22"/>
        </w:rPr>
        <w:t>fertas de venta)</w:t>
      </w:r>
    </w:p>
    <w:p w14:paraId="77EE5FFF" w14:textId="77777777" w:rsidR="00FD03D0" w:rsidRPr="002E2770" w:rsidRDefault="00FD03D0" w:rsidP="002E2770">
      <w:pPr>
        <w:pStyle w:val="Estilo1"/>
      </w:pPr>
      <w:r w:rsidRPr="002E2770">
        <w:lastRenderedPageBreak/>
        <w:t>CONJUNTOS</w:t>
      </w:r>
    </w:p>
    <w:p w14:paraId="0EE5A6D0" w14:textId="165E4E38" w:rsidR="00FD03D0" w:rsidRPr="008A7165" w:rsidRDefault="00FE5BD5" w:rsidP="008202B3">
      <w:pPr>
        <w:pStyle w:val="RiosDiaz2"/>
        <w:jc w:val="left"/>
        <w:rPr>
          <w:i w:val="0"/>
        </w:rPr>
      </w:pPr>
      <w:r w:rsidRPr="00786807">
        <w:rPr>
          <w:szCs w:val="24"/>
        </w:rPr>
        <w:t>ZP</w:t>
      </w:r>
      <w:r w:rsidR="00FD03D0" w:rsidRPr="00786807">
        <w:rPr>
          <w:szCs w:val="24"/>
        </w:rPr>
        <w:tab/>
      </w:r>
      <w:r w:rsidR="00FD03D0" w:rsidRPr="00786807">
        <w:rPr>
          <w:i w:val="0"/>
          <w:szCs w:val="24"/>
        </w:rPr>
        <w:t xml:space="preserve">Zonas de Potencia </w:t>
      </w:r>
      <w:r w:rsidR="00FD03D0" w:rsidRPr="00786807">
        <w:rPr>
          <w:szCs w:val="24"/>
        </w:rPr>
        <w:t>zp</w:t>
      </w:r>
      <w:r w:rsidR="00FD03D0" w:rsidRPr="00786807">
        <w:rPr>
          <w:i w:val="0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</w:t>
      </w:r>
      <w:r w:rsidR="00FD03D0" w:rsidRPr="00CD6036">
        <w:rPr>
          <w:b/>
          <w:i w:val="0"/>
          <w:szCs w:val="24"/>
        </w:rPr>
        <w:t xml:space="preserve">Anexo </w:t>
      </w:r>
      <w:r w:rsidR="000D237F" w:rsidRPr="00CD6036">
        <w:rPr>
          <w:b/>
          <w:i w:val="0"/>
          <w:szCs w:val="24"/>
        </w:rPr>
        <w:t>II.7</w:t>
      </w:r>
      <w:r w:rsidR="00FD03D0" w:rsidRPr="00786807">
        <w:rPr>
          <w:i w:val="0"/>
          <w:szCs w:val="24"/>
        </w:rPr>
        <w:t>).</w:t>
      </w:r>
    </w:p>
    <w:p w14:paraId="1B3D1FB4" w14:textId="77777777" w:rsidR="00FD03D0" w:rsidRPr="008A7165" w:rsidRDefault="00FD03D0" w:rsidP="008202B3">
      <w:pPr>
        <w:pStyle w:val="RiosDiaz2"/>
        <w:jc w:val="left"/>
        <w:rPr>
          <w:i w:val="0"/>
        </w:rPr>
      </w:pPr>
    </w:p>
    <w:p w14:paraId="12F60154" w14:textId="4251AA90" w:rsidR="00FE5BD5" w:rsidRPr="00786807" w:rsidRDefault="00FE5BD5" w:rsidP="00FE5BD5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ZE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 Exportación </w:t>
      </w:r>
      <w:r w:rsidRPr="00786807">
        <w:rPr>
          <w:szCs w:val="24"/>
        </w:rPr>
        <w:t>ze</w:t>
      </w:r>
      <w:r w:rsidRPr="00786807">
        <w:rPr>
          <w:i w:val="0"/>
          <w:szCs w:val="24"/>
        </w:rPr>
        <w:t>. Se incluyen las Zonas de Generación con problemas en los límites de transmisión, Definidos por el CENACE (</w:t>
      </w:r>
      <w:r w:rsidRPr="00CD6036">
        <w:rPr>
          <w:b/>
          <w:i w:val="0"/>
          <w:szCs w:val="24"/>
        </w:rPr>
        <w:t xml:space="preserve">Anexo </w:t>
      </w:r>
      <w:r w:rsidR="00DF4336" w:rsidRPr="00CD6036">
        <w:rPr>
          <w:b/>
          <w:i w:val="0"/>
          <w:szCs w:val="24"/>
        </w:rPr>
        <w:t>II.</w:t>
      </w:r>
      <w:r w:rsidR="000D237F" w:rsidRPr="00CD6036">
        <w:rPr>
          <w:b/>
          <w:i w:val="0"/>
          <w:szCs w:val="24"/>
        </w:rPr>
        <w:t>7</w:t>
      </w:r>
      <w:r w:rsidRPr="00786807">
        <w:rPr>
          <w:i w:val="0"/>
          <w:szCs w:val="24"/>
        </w:rPr>
        <w:t>).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14:paraId="75BD28B3" w14:textId="77777777" w:rsidR="00FE5BD5" w:rsidRPr="00786807" w:rsidRDefault="00FE5BD5" w:rsidP="000D237F">
      <w:pPr>
        <w:pStyle w:val="RiosDiaz2"/>
        <w:ind w:left="0" w:firstLine="0"/>
        <w:jc w:val="left"/>
        <w:rPr>
          <w:szCs w:val="24"/>
        </w:rPr>
      </w:pPr>
    </w:p>
    <w:p w14:paraId="74CF5A2E" w14:textId="77777777" w:rsidR="00FE5BD5" w:rsidRPr="00786807" w:rsidRDefault="00FE5BD5" w:rsidP="00FE5BD5">
      <w:pPr>
        <w:pStyle w:val="RiosDiaz2"/>
        <w:jc w:val="left"/>
        <w:rPr>
          <w:rFonts w:eastAsiaTheme="minorEastAsia"/>
          <w:b/>
          <w:i w:val="0"/>
          <w:szCs w:val="24"/>
        </w:rPr>
      </w:pPr>
      <w:r w:rsidRPr="00786807">
        <w:rPr>
          <w:szCs w:val="24"/>
        </w:rPr>
        <w:t>ZI</w:t>
      </w:r>
      <w:r w:rsidR="00FD03D0" w:rsidRPr="00786807">
        <w:rPr>
          <w:szCs w:val="24"/>
        </w:rPr>
        <w:tab/>
      </w:r>
      <w:r w:rsidR="00FD03D0" w:rsidRPr="00786807">
        <w:rPr>
          <w:i w:val="0"/>
          <w:szCs w:val="24"/>
        </w:rPr>
        <w:t xml:space="preserve">Zonas de  Interconexión </w:t>
      </w:r>
      <w:r w:rsidR="00FD03D0" w:rsidRPr="00786807">
        <w:rPr>
          <w:szCs w:val="24"/>
        </w:rPr>
        <w:t>zi</w:t>
      </w:r>
      <w:r w:rsidR="00FD03D0" w:rsidRPr="00786807">
        <w:rPr>
          <w:i w:val="0"/>
          <w:szCs w:val="24"/>
        </w:rPr>
        <w:t>. Se incluyen las Regiones de Transmisión que integran las diversas Gerencias de Control Regional del Sistema Eléctrico Nacional. Definidos por el CENACE (</w:t>
      </w:r>
      <w:r w:rsidR="00FD03D0" w:rsidRPr="00CD6036">
        <w:rPr>
          <w:b/>
          <w:i w:val="0"/>
          <w:szCs w:val="24"/>
        </w:rPr>
        <w:t xml:space="preserve">Anexo </w:t>
      </w:r>
      <w:r w:rsidR="00DB1596" w:rsidRPr="00CD6036">
        <w:rPr>
          <w:b/>
          <w:i w:val="0"/>
          <w:szCs w:val="24"/>
        </w:rPr>
        <w:t>II.4</w:t>
      </w:r>
      <w:r w:rsidRPr="00786807">
        <w:rPr>
          <w:i w:val="0"/>
          <w:szCs w:val="24"/>
        </w:rPr>
        <w:t>).</w:t>
      </w:r>
    </w:p>
    <w:p w14:paraId="51C390EB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569B6B19" w14:textId="2819DF1A" w:rsidR="00FE5BD5" w:rsidRPr="00786807" w:rsidRDefault="00FD03D0" w:rsidP="00FE5BD5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ZPR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Precios </w:t>
      </w:r>
      <w:r w:rsidRPr="00786807">
        <w:rPr>
          <w:szCs w:val="24"/>
        </w:rPr>
        <w:t>zpr</w:t>
      </w:r>
      <w:r w:rsidRPr="00786807">
        <w:rPr>
          <w:i w:val="0"/>
          <w:szCs w:val="24"/>
        </w:rPr>
        <w:t>. Se incluyen como Zonas de Precios los Precios Marginales Locales para las Zonas de Generación, definidos por el CENACE (</w:t>
      </w:r>
      <w:r w:rsidRPr="00CD6036">
        <w:rPr>
          <w:b/>
          <w:i w:val="0"/>
          <w:szCs w:val="24"/>
        </w:rPr>
        <w:t xml:space="preserve">Anexo </w:t>
      </w:r>
      <w:r w:rsidR="00DB1596" w:rsidRPr="00CD6036">
        <w:rPr>
          <w:b/>
          <w:i w:val="0"/>
          <w:szCs w:val="24"/>
        </w:rPr>
        <w:t>II.2</w:t>
      </w:r>
      <w:r w:rsidR="00FE5BD5" w:rsidRPr="00786807">
        <w:rPr>
          <w:i w:val="0"/>
          <w:szCs w:val="24"/>
        </w:rPr>
        <w:t>).</w:t>
      </w:r>
      <w:r w:rsidR="00FE5BD5" w:rsidRPr="00786807">
        <w:rPr>
          <w:rFonts w:eastAsiaTheme="minorEastAsia"/>
          <w:b/>
          <w:i w:val="0"/>
          <w:szCs w:val="24"/>
        </w:rPr>
        <w:t xml:space="preserve"> </w:t>
      </w:r>
    </w:p>
    <w:p w14:paraId="7E3157D6" w14:textId="77777777" w:rsidR="00FE5BD5" w:rsidRDefault="00FE5BD5" w:rsidP="000D237F">
      <w:pPr>
        <w:pStyle w:val="RiosDiaz2"/>
        <w:ind w:left="0" w:firstLine="0"/>
        <w:jc w:val="left"/>
        <w:rPr>
          <w:szCs w:val="24"/>
        </w:rPr>
      </w:pPr>
    </w:p>
    <w:p w14:paraId="4603AC6C" w14:textId="77777777"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BP</w:t>
      </w:r>
      <w:r w:rsidR="0094169E" w:rsidRPr="00786807">
        <w:rPr>
          <w:szCs w:val="24"/>
          <w:vertAlign w:val="subscript"/>
        </w:rPr>
        <w:t>zp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b</w:t>
      </w:r>
      <w:r w:rsidRPr="00786807">
        <w:rPr>
          <w:i w:val="0"/>
          <w:szCs w:val="24"/>
        </w:rPr>
        <w:t xml:space="preserve">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w:r w:rsidR="0094169E" w:rsidRPr="00786807">
        <w:rPr>
          <w:szCs w:val="24"/>
        </w:rPr>
        <w:t>bp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en la Zona de Potencia </w:t>
      </w:r>
      <w:r w:rsidRPr="00786807">
        <w:rPr>
          <w:szCs w:val="24"/>
        </w:rPr>
        <w:t>zp.</w:t>
      </w:r>
    </w:p>
    <w:p w14:paraId="15FA727E" w14:textId="77777777" w:rsidR="00FD03D0" w:rsidRPr="00786807" w:rsidRDefault="00FD03D0" w:rsidP="008202B3">
      <w:pPr>
        <w:pStyle w:val="RiosDiaz2"/>
        <w:jc w:val="left"/>
        <w:rPr>
          <w:szCs w:val="24"/>
        </w:rPr>
      </w:pPr>
    </w:p>
    <w:p w14:paraId="44071BA6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BE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b</w:t>
      </w:r>
      <w:r w:rsidRPr="00786807">
        <w:rPr>
          <w:i w:val="0"/>
          <w:szCs w:val="24"/>
        </w:rPr>
        <w:t xml:space="preserve">andas </w:t>
      </w:r>
      <w:r w:rsidR="009E5733" w:rsidRPr="00786807">
        <w:rPr>
          <w:i w:val="0"/>
          <w:szCs w:val="24"/>
        </w:rPr>
        <w:t xml:space="preserve">(ofertas de compra) </w:t>
      </w:r>
      <w:r w:rsidRPr="00786807">
        <w:rPr>
          <w:i w:val="0"/>
          <w:szCs w:val="24"/>
        </w:rPr>
        <w:t>de Energía Eléctrica Acumulable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be</w:t>
      </w:r>
      <w:r w:rsidRPr="00786807">
        <w:rPr>
          <w:i w:val="0"/>
          <w:szCs w:val="24"/>
        </w:rPr>
        <w:t>.</w:t>
      </w:r>
    </w:p>
    <w:p w14:paraId="5FBC7AE8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5CC3FAAF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BC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b</w:t>
      </w:r>
      <w:r w:rsidRPr="00786807">
        <w:rPr>
          <w:i w:val="0"/>
          <w:szCs w:val="24"/>
        </w:rPr>
        <w:t xml:space="preserve">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bc</w:t>
      </w:r>
      <w:r w:rsidRPr="00786807">
        <w:rPr>
          <w:i w:val="0"/>
          <w:szCs w:val="24"/>
        </w:rPr>
        <w:t>.</w:t>
      </w:r>
    </w:p>
    <w:p w14:paraId="6574F4B2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52DC4ACC" w14:textId="77777777" w:rsidR="00FD03D0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>Conjunto de p</w:t>
      </w:r>
      <w:r w:rsidRPr="00786807">
        <w:rPr>
          <w:i w:val="0"/>
          <w:szCs w:val="24"/>
        </w:rPr>
        <w:t xml:space="preserve">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Pr="00786807">
        <w:rPr>
          <w:i w:val="0"/>
          <w:szCs w:val="24"/>
        </w:rPr>
        <w:t>.</w:t>
      </w:r>
    </w:p>
    <w:p w14:paraId="2E50705F" w14:textId="77777777" w:rsidR="000D237F" w:rsidRPr="00786807" w:rsidRDefault="000D237F" w:rsidP="008202B3">
      <w:pPr>
        <w:pStyle w:val="RiosDiaz2"/>
        <w:jc w:val="left"/>
        <w:rPr>
          <w:i w:val="0"/>
          <w:szCs w:val="24"/>
        </w:rPr>
      </w:pPr>
    </w:p>
    <w:p w14:paraId="682E50CB" w14:textId="48FBFD25" w:rsidR="00FD03D0" w:rsidRPr="00786807" w:rsidRDefault="00DE0A9F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</w:t>
      </w:r>
      <w:r>
        <w:rPr>
          <w:szCs w:val="24"/>
        </w:rPr>
        <w:t>(</w:t>
      </w:r>
      <w:r w:rsidR="00511ACA" w:rsidRPr="00786807">
        <w:rPr>
          <w:szCs w:val="24"/>
        </w:rPr>
        <w:t>c</w:t>
      </w:r>
      <w:r>
        <w:rPr>
          <w:szCs w:val="24"/>
        </w:rPr>
        <w:t>)</w:t>
      </w:r>
      <w:r w:rsidRPr="00786807">
        <w:rPr>
          <w:szCs w:val="24"/>
        </w:rPr>
        <w:tab/>
      </w:r>
      <w:r w:rsidR="00FE5BD5">
        <w:rPr>
          <w:i w:val="0"/>
          <w:szCs w:val="24"/>
        </w:rPr>
        <w:t>C</w:t>
      </w:r>
      <w:r>
        <w:rPr>
          <w:i w:val="0"/>
          <w:szCs w:val="24"/>
        </w:rPr>
        <w:t xml:space="preserve">onjunto de </w:t>
      </w:r>
      <w:r w:rsidR="005A0210" w:rsidRPr="00786807">
        <w:rPr>
          <w:i w:val="0"/>
          <w:szCs w:val="24"/>
        </w:rPr>
        <w:t>paquete</w:t>
      </w:r>
      <w:r w:rsidR="00FD03D0" w:rsidRPr="00786807">
        <w:rPr>
          <w:i w:val="0"/>
          <w:szCs w:val="24"/>
        </w:rPr>
        <w:t xml:space="preserve">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="0094169E" w:rsidRPr="004D0387">
        <w:t xml:space="preserve"> </w:t>
      </w:r>
      <w:r w:rsidR="00FD03D0" w:rsidRPr="00786807">
        <w:rPr>
          <w:i w:val="0"/>
          <w:szCs w:val="24"/>
        </w:rPr>
        <w:t xml:space="preserve">que </w:t>
      </w:r>
      <w:r w:rsidR="000D237F">
        <w:rPr>
          <w:i w:val="0"/>
          <w:szCs w:val="24"/>
        </w:rPr>
        <w:t>están</w:t>
      </w:r>
      <w:r w:rsidR="00FE5BD5">
        <w:rPr>
          <w:i w:val="0"/>
          <w:szCs w:val="24"/>
        </w:rPr>
        <w:t xml:space="preserve"> </w:t>
      </w:r>
      <w:r w:rsidR="00DB1596">
        <w:rPr>
          <w:i w:val="0"/>
          <w:szCs w:val="24"/>
        </w:rPr>
        <w:t>asociadas</w:t>
      </w:r>
      <w:r w:rsidR="00FE5BD5">
        <w:rPr>
          <w:i w:val="0"/>
          <w:szCs w:val="24"/>
        </w:rPr>
        <w:t xml:space="preserve"> </w:t>
      </w:r>
      <w:r w:rsidR="00DB1596">
        <w:rPr>
          <w:i w:val="0"/>
          <w:szCs w:val="24"/>
        </w:rPr>
        <w:t>a</w:t>
      </w:r>
      <w:r w:rsidR="00FD03D0" w:rsidRPr="00786807">
        <w:rPr>
          <w:i w:val="0"/>
          <w:szCs w:val="24"/>
        </w:rPr>
        <w:t xml:space="preserve"> </w:t>
      </w:r>
      <w:r w:rsidR="009E5733" w:rsidRPr="00786807">
        <w:rPr>
          <w:i w:val="0"/>
          <w:szCs w:val="24"/>
        </w:rPr>
        <w:t xml:space="preserve">la Central Eléctrica </w:t>
      </w:r>
      <m:oMath>
        <m:r>
          <w:rPr>
            <w:rFonts w:ascii="Cambria Math" w:hAnsi="Cambria Math"/>
          </w:rPr>
          <m:t>c</m:t>
        </m:r>
      </m:oMath>
      <w:r w:rsidRPr="00786807">
        <w:rPr>
          <w:i w:val="0"/>
          <w:szCs w:val="24"/>
        </w:rPr>
        <w:t>.</w:t>
      </w:r>
    </w:p>
    <w:p w14:paraId="53DE7009" w14:textId="77777777" w:rsidR="00DE0A9F" w:rsidRPr="00786807" w:rsidRDefault="00DE0A9F" w:rsidP="00DE0A9F">
      <w:pPr>
        <w:pStyle w:val="RiosDiaz2"/>
        <w:jc w:val="left"/>
        <w:rPr>
          <w:i w:val="0"/>
          <w:szCs w:val="24"/>
        </w:rPr>
      </w:pPr>
    </w:p>
    <w:p w14:paraId="177CDF84" w14:textId="77777777" w:rsidR="00511ACA" w:rsidRPr="00786807" w:rsidRDefault="00511ACA" w:rsidP="00511ACA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</w:t>
      </w:r>
      <w:r w:rsidRPr="00786807">
        <w:rPr>
          <w:szCs w:val="24"/>
        </w:rPr>
        <w:tab/>
      </w:r>
      <w:r w:rsidR="00DE0A9F">
        <w:rPr>
          <w:i w:val="0"/>
          <w:szCs w:val="24"/>
        </w:rPr>
        <w:t xml:space="preserve">Conjunto de </w:t>
      </w:r>
      <w:r w:rsidRPr="00786807">
        <w:rPr>
          <w:i w:val="0"/>
          <w:szCs w:val="24"/>
        </w:rPr>
        <w:t xml:space="preserve">Centrales </w:t>
      </w:r>
      <w:r w:rsidR="00DE0A9F">
        <w:rPr>
          <w:i w:val="0"/>
          <w:szCs w:val="24"/>
        </w:rPr>
        <w:t>E</w:t>
      </w:r>
      <w:r w:rsidRPr="00786807">
        <w:rPr>
          <w:i w:val="0"/>
          <w:szCs w:val="24"/>
        </w:rPr>
        <w:t xml:space="preserve">léctricas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>.</w:t>
      </w:r>
    </w:p>
    <w:p w14:paraId="60019AD8" w14:textId="6510061B" w:rsidR="00FD03D0" w:rsidRPr="00786807" w:rsidRDefault="00FD03D0" w:rsidP="000D237F">
      <w:pPr>
        <w:pStyle w:val="RiosDiaz2"/>
        <w:ind w:left="0" w:firstLine="0"/>
        <w:jc w:val="left"/>
        <w:rPr>
          <w:i w:val="0"/>
          <w:szCs w:val="24"/>
        </w:rPr>
      </w:pPr>
    </w:p>
    <w:p w14:paraId="389E3A6B" w14:textId="77777777" w:rsidR="00FD03D0" w:rsidRPr="00786807" w:rsidRDefault="00012A42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</w:t>
      </w:r>
      <w:r w:rsidR="00FD03D0" w:rsidRPr="00786807">
        <w:rPr>
          <w:szCs w:val="24"/>
        </w:rPr>
        <w:t xml:space="preserve">(zi) </w:t>
      </w:r>
      <w:r w:rsidR="00FD03D0" w:rsidRPr="00786807">
        <w:rPr>
          <w:szCs w:val="24"/>
        </w:rPr>
        <w:tab/>
      </w:r>
      <w:r w:rsidRPr="00786807">
        <w:rPr>
          <w:i w:val="0"/>
          <w:szCs w:val="24"/>
        </w:rPr>
        <w:t>Centrales</w:t>
      </w:r>
      <w:r w:rsidR="0094169E" w:rsidRPr="00786807">
        <w:rPr>
          <w:i w:val="0"/>
          <w:szCs w:val="24"/>
        </w:rPr>
        <w:t xml:space="preserve"> </w:t>
      </w:r>
      <w:r w:rsidR="00FD03D0" w:rsidRPr="00786807">
        <w:rPr>
          <w:i w:val="0"/>
          <w:szCs w:val="24"/>
        </w:rPr>
        <w:t xml:space="preserve">que pertenecen a la Zona de Interconexión </w:t>
      </w:r>
      <w:r w:rsidR="00FD03D0" w:rsidRPr="00786807">
        <w:rPr>
          <w:szCs w:val="24"/>
        </w:rPr>
        <w:t>zi</w:t>
      </w:r>
      <w:r w:rsidR="00FE5BD5">
        <w:rPr>
          <w:szCs w:val="24"/>
        </w:rPr>
        <w:t>.</w:t>
      </w:r>
    </w:p>
    <w:p w14:paraId="2933EE91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66EF8287" w14:textId="7AA267F5" w:rsidR="00FD03D0" w:rsidRPr="00786807" w:rsidRDefault="00012A42" w:rsidP="000D237F">
      <w:pPr>
        <w:pStyle w:val="RiosDiaz2"/>
        <w:ind w:left="0" w:firstLine="0"/>
        <w:jc w:val="left"/>
        <w:rPr>
          <w:i w:val="0"/>
          <w:szCs w:val="24"/>
        </w:rPr>
      </w:pPr>
      <w:r w:rsidRPr="00786807">
        <w:rPr>
          <w:szCs w:val="24"/>
        </w:rPr>
        <w:t>C(</w:t>
      </w:r>
      <w:r w:rsidR="00FD03D0" w:rsidRPr="00786807">
        <w:rPr>
          <w:szCs w:val="24"/>
        </w:rPr>
        <w:t xml:space="preserve">ze) </w:t>
      </w:r>
      <w:r w:rsidR="00FD03D0" w:rsidRPr="00786807">
        <w:rPr>
          <w:szCs w:val="24"/>
        </w:rPr>
        <w:tab/>
      </w:r>
      <w:r w:rsidR="00FE5BD5" w:rsidRPr="00786807">
        <w:rPr>
          <w:i w:val="0"/>
          <w:szCs w:val="24"/>
        </w:rPr>
        <w:t>Centrales</w:t>
      </w:r>
      <w:r w:rsidR="0094169E" w:rsidRPr="00786807">
        <w:rPr>
          <w:i w:val="0"/>
          <w:szCs w:val="24"/>
        </w:rPr>
        <w:t xml:space="preserve"> </w:t>
      </w:r>
      <w:r w:rsidR="00FD03D0" w:rsidRPr="00786807">
        <w:rPr>
          <w:i w:val="0"/>
          <w:szCs w:val="24"/>
        </w:rPr>
        <w:t xml:space="preserve">que pertenecen a la Zona de Exportación </w:t>
      </w:r>
      <w:r w:rsidR="00FD03D0" w:rsidRPr="00786807">
        <w:rPr>
          <w:szCs w:val="24"/>
        </w:rPr>
        <w:t>ze</w:t>
      </w:r>
      <w:r w:rsidR="00FE5BD5">
        <w:rPr>
          <w:szCs w:val="24"/>
        </w:rPr>
        <w:t>.</w:t>
      </w:r>
    </w:p>
    <w:p w14:paraId="0D6F5508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14:paraId="031DBB2C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OC</w:t>
      </w:r>
      <w:r w:rsidRPr="00786807">
        <w:rPr>
          <w:szCs w:val="24"/>
        </w:rPr>
        <w:tab/>
      </w:r>
      <w:r w:rsidR="0094169E" w:rsidRPr="00786807">
        <w:rPr>
          <w:i w:val="0"/>
          <w:szCs w:val="24"/>
        </w:rPr>
        <w:t>Grupos de p</w:t>
      </w:r>
      <w:r w:rsidRPr="00786807">
        <w:rPr>
          <w:i w:val="0"/>
          <w:szCs w:val="24"/>
        </w:rPr>
        <w:t xml:space="preserve">aquetes </w:t>
      </w:r>
      <w:r w:rsidR="0094169E" w:rsidRPr="00786807">
        <w:rPr>
          <w:i w:val="0"/>
          <w:szCs w:val="24"/>
        </w:rPr>
        <w:t xml:space="preserve">(ofertas de venta) </w:t>
      </w:r>
      <w:r w:rsidRPr="00786807">
        <w:rPr>
          <w:i w:val="0"/>
          <w:szCs w:val="24"/>
        </w:rPr>
        <w:t xml:space="preserve">condicionados </w:t>
      </w:r>
      <w:r w:rsidR="00DB1596" w:rsidRPr="00786807">
        <w:rPr>
          <w:szCs w:val="24"/>
        </w:rPr>
        <w:t>OC</w:t>
      </w:r>
      <w:r w:rsidRPr="00BD74F8">
        <w:rPr>
          <w:szCs w:val="24"/>
          <w:vertAlign w:val="subscript"/>
        </w:rPr>
        <w:t>i</w:t>
      </w:r>
      <w:r w:rsidRPr="00786807">
        <w:rPr>
          <w:i w:val="0"/>
          <w:szCs w:val="24"/>
        </w:rPr>
        <w:t>. Cada elemento de este conjunto es, a su vez, un conjunto de 2 Paquetes</w:t>
      </w:r>
      <w:r w:rsidR="0094169E" w:rsidRPr="00786807">
        <w:rPr>
          <w:i w:val="0"/>
          <w:szCs w:val="24"/>
        </w:rPr>
        <w:t>, definido de la siguiente forma</w:t>
      </w:r>
      <w:r w:rsidRPr="00786807">
        <w:rPr>
          <w:i w:val="0"/>
          <w:szCs w:val="24"/>
        </w:rPr>
        <w:t xml:space="preserve">: </w:t>
      </w:r>
    </w:p>
    <w:p w14:paraId="26A2415B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39B206A5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>(p,pi)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|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p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>y</w:t>
      </w:r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pi∈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 xml:space="preserve">y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se acepta solo si el Paquete </w:t>
      </w:r>
      <w:r w:rsidRPr="00786807">
        <w:rPr>
          <w:szCs w:val="24"/>
        </w:rPr>
        <w:t>pi</w:t>
      </w:r>
      <w:r w:rsidRPr="00786807">
        <w:rPr>
          <w:i w:val="0"/>
          <w:szCs w:val="24"/>
        </w:rPr>
        <w:t xml:space="preserve"> es aceptado</w:t>
      </w:r>
    </w:p>
    <w:p w14:paraId="7DB5B676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3F25DADB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2A49E57E" w14:textId="77777777" w:rsidR="0094169E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lastRenderedPageBreak/>
        <w:t>OME</w:t>
      </w:r>
      <w:r w:rsidRPr="00786807">
        <w:rPr>
          <w:szCs w:val="24"/>
        </w:rPr>
        <w:tab/>
      </w:r>
      <w:bookmarkStart w:id="0" w:name="_GoBack"/>
      <w:bookmarkEnd w:id="0"/>
      <w:r w:rsidRPr="00786807">
        <w:rPr>
          <w:i w:val="0"/>
          <w:szCs w:val="24"/>
        </w:rPr>
        <w:t xml:space="preserve">Ofertas de Paquetes mutuamente excluyentes </w:t>
      </w:r>
      <w:r w:rsidRPr="00786807">
        <w:rPr>
          <w:szCs w:val="24"/>
        </w:rPr>
        <w:t>omei</w:t>
      </w:r>
      <w:r w:rsidRPr="00786807">
        <w:rPr>
          <w:i w:val="0"/>
          <w:szCs w:val="24"/>
        </w:rPr>
        <w:t>. Cada elemento de este conjunto es, a su vez, un conjunto de Paquetes</w:t>
      </w:r>
      <w:r w:rsidR="0094169E" w:rsidRPr="00786807">
        <w:rPr>
          <w:i w:val="0"/>
          <w:szCs w:val="24"/>
        </w:rPr>
        <w:t>, definido de la siguiente forma:</w:t>
      </w:r>
    </w:p>
    <w:p w14:paraId="6FF5D5C2" w14:textId="77777777" w:rsidR="0094169E" w:rsidRPr="00786807" w:rsidRDefault="0094169E" w:rsidP="008202B3">
      <w:pPr>
        <w:pStyle w:val="RiosDiaz2"/>
        <w:jc w:val="left"/>
        <w:rPr>
          <w:i w:val="0"/>
          <w:szCs w:val="24"/>
        </w:rPr>
      </w:pPr>
    </w:p>
    <w:p w14:paraId="45165C27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ab/>
        <w:t>(p, …, pi) | p</w:t>
      </w:r>
      <m:oMath>
        <m:r>
          <w:rPr>
            <w:rFonts w:ascii="Cambria Math"/>
            <w:szCs w:val="24"/>
          </w:rPr>
          <m:t>…</m:t>
        </m:r>
      </m:oMath>
      <w:r w:rsidR="0094169E" w:rsidRPr="00786807">
        <w:rPr>
          <w:szCs w:val="24"/>
        </w:rPr>
        <w:t xml:space="preserve"> p</w:t>
      </w:r>
      <m:oMath>
        <m:r>
          <w:rPr>
            <w:rFonts w:ascii="Cambria Math" w:hAnsi="Cambria Math"/>
            <w:szCs w:val="24"/>
          </w:rPr>
          <m:t>i∈</m:t>
        </m:r>
      </m:oMath>
      <w:r w:rsidR="0094169E" w:rsidRPr="00786807">
        <w:rPr>
          <w:szCs w:val="24"/>
        </w:rPr>
        <w:t xml:space="preserve">PAQ </w:t>
      </w:r>
      <w:r w:rsidR="0094169E" w:rsidRPr="00786807">
        <w:rPr>
          <w:i w:val="0"/>
          <w:szCs w:val="24"/>
        </w:rPr>
        <w:t>y no más que un paquete en el conjunto puede ser aceptado</w:t>
      </w:r>
      <w:r w:rsidR="0094169E" w:rsidRPr="00786807" w:rsidDel="0094169E">
        <w:rPr>
          <w:i w:val="0"/>
          <w:szCs w:val="24"/>
        </w:rPr>
        <w:t xml:space="preserve"> </w:t>
      </w:r>
    </w:p>
    <w:tbl>
      <w:tblPr>
        <w:tblStyle w:val="Tablaconcuadrcula"/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FD03D0" w:rsidRPr="008202B3" w14:paraId="23276DF8" w14:textId="77777777" w:rsidTr="008A7165">
        <w:trPr>
          <w:jc w:val="center"/>
        </w:trPr>
        <w:tc>
          <w:tcPr>
            <w:tcW w:w="9356" w:type="dxa"/>
            <w:shd w:val="clear" w:color="auto" w:fill="DDD9C3"/>
          </w:tcPr>
          <w:p w14:paraId="05DA1492" w14:textId="77777777" w:rsidR="00FD03D0" w:rsidRPr="00786807" w:rsidRDefault="00FD03D0" w:rsidP="00786807">
            <w:pPr>
              <w:pStyle w:val="EJETitulo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>Ejemplo de Ofertas condicionadas y mutuamente excluyentes</w:t>
            </w:r>
          </w:p>
          <w:p w14:paraId="1A53D4B2" w14:textId="77777777" w:rsidR="00FD03D0" w:rsidRPr="00786807" w:rsidRDefault="00FD03D0" w:rsidP="00786807">
            <w:pPr>
              <w:pStyle w:val="EJETexto1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 xml:space="preserve">Un </w:t>
            </w:r>
            <w:r w:rsidR="0094169E" w:rsidRPr="00786807">
              <w:rPr>
                <w:rFonts w:asciiTheme="minorHAnsi" w:hAnsiTheme="minorHAnsi"/>
                <w:szCs w:val="24"/>
              </w:rPr>
              <w:t xml:space="preserve">Licitante </w:t>
            </w:r>
            <w:r w:rsidRPr="00786807">
              <w:rPr>
                <w:rFonts w:asciiTheme="minorHAnsi" w:hAnsiTheme="minorHAnsi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14:paraId="1D137839" w14:textId="77777777"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El </w:t>
            </w:r>
            <w:r w:rsidR="0094169E" w:rsidRPr="00786807">
              <w:rPr>
                <w:rFonts w:asciiTheme="minorHAnsi" w:hAnsiTheme="minorHAnsi"/>
              </w:rPr>
              <w:t>Licitante</w:t>
            </w:r>
            <w:r w:rsidRPr="00786807">
              <w:rPr>
                <w:rFonts w:asciiTheme="minorHAnsi" w:hAnsiTheme="minorHAnsi"/>
              </w:rPr>
              <w:t xml:space="preserve"> realizará nueve Ofertas de Venta con los siguientes Paquetes:</w:t>
            </w:r>
          </w:p>
          <w:p w14:paraId="0EF7E818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A: Paquete 1(mínimo), Paquete 2(intermedio), Paquete 3(máximo)</w:t>
            </w:r>
          </w:p>
          <w:p w14:paraId="578F9BD6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B: Paquete 4(mínimo), Paquete 5(intermedio), Paquete 6(máximo)</w:t>
            </w:r>
          </w:p>
          <w:p w14:paraId="3B5A46A5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C: Paquete 7(mínimo), Paquete 8(intermedio), Paquete 9(máximo)</w:t>
            </w:r>
          </w:p>
          <w:p w14:paraId="115502FC" w14:textId="77777777"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Tres de las Ofertas de Venta serán mutuamente excluyentes (las que correspondan a los Paquetes 1, 4 y 7):</w:t>
            </w:r>
          </w:p>
          <w:p w14:paraId="05602543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ome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 xml:space="preserve"> = {1(mínimo Sitio A), 4 (mínimo Sitio B), 7 (mínimo Sitio C)}</w:t>
            </w:r>
          </w:p>
          <w:p w14:paraId="54823928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En la Subasta sólo se podrá seleccionar la Oferta del Paquete mínimo para uno solo de los Sitios (1, 4 o 7)</w:t>
            </w:r>
          </w:p>
          <w:p w14:paraId="22D787C1" w14:textId="77777777"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Seis de las Ofertas de Venta serán condicionadas (las que correspondan a los Paquetes 2, 3, 5, 6, 8 y 9): </w:t>
            </w:r>
          </w:p>
          <w:p w14:paraId="417FB0E2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>= {1 (mínimo), 2 (intermedio), 3 (máximo)}</w:t>
            </w:r>
          </w:p>
          <w:p w14:paraId="5AB1A9AA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2 estará condicionada a la selección del Paquete 1, y a su vez, la selección del Paquete 3 estará condicionada a la selección del Paquete 2.</w:t>
            </w:r>
          </w:p>
          <w:p w14:paraId="6CC6B73F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2</w:t>
            </w:r>
            <w:r w:rsidRPr="00786807">
              <w:rPr>
                <w:rFonts w:asciiTheme="minorHAnsi" w:hAnsiTheme="minorHAnsi"/>
              </w:rPr>
              <w:t xml:space="preserve">= {4 (mínimo), 5 (intermedio), 6 (máximo)} </w:t>
            </w:r>
          </w:p>
          <w:p w14:paraId="1E70D996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5 estará condicionada a la selección del Paquete 4, y a su vez, la selección del Paquete 6 estará condicionada a la selección del Paquete 5.</w:t>
            </w:r>
          </w:p>
          <w:p w14:paraId="6A57FFF8" w14:textId="77777777"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3</w:t>
            </w:r>
            <w:r w:rsidRPr="00786807">
              <w:rPr>
                <w:rFonts w:asciiTheme="minorHAnsi" w:hAnsiTheme="minorHAnsi"/>
              </w:rPr>
              <w:t xml:space="preserve">= {7 (mínimo), 8 (intermedio), 9 (máximo)} </w:t>
            </w:r>
          </w:p>
          <w:p w14:paraId="4D03BAF0" w14:textId="77777777" w:rsidR="00FD03D0" w:rsidRPr="00786807" w:rsidRDefault="00FD03D0" w:rsidP="00786807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8 estará condicionada a la selección del Paquete 7, y a su vez, la selección del Paquete 9 estará condicionada a la selección del Paquete 8.</w:t>
            </w:r>
          </w:p>
        </w:tc>
      </w:tr>
    </w:tbl>
    <w:p w14:paraId="3AB28255" w14:textId="77777777"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14:paraId="6D3EDC68" w14:textId="0BBB9C8B" w:rsidR="00FD03D0" w:rsidRDefault="00FD03D0" w:rsidP="008202B3">
      <w:pPr>
        <w:pStyle w:val="RiosDiaz2"/>
        <w:jc w:val="left"/>
        <w:rPr>
          <w:szCs w:val="24"/>
          <w:lang w:val="es-MX"/>
        </w:rPr>
      </w:pPr>
    </w:p>
    <w:p w14:paraId="37713300" w14:textId="29C77917" w:rsidR="00E0094D" w:rsidRDefault="00E0094D" w:rsidP="008202B3">
      <w:pPr>
        <w:pStyle w:val="RiosDiaz2"/>
        <w:jc w:val="left"/>
        <w:rPr>
          <w:szCs w:val="24"/>
          <w:lang w:val="es-MX"/>
        </w:rPr>
      </w:pPr>
    </w:p>
    <w:p w14:paraId="647D434A" w14:textId="5E0C7238" w:rsidR="00E0094D" w:rsidRDefault="00E0094D" w:rsidP="008202B3">
      <w:pPr>
        <w:pStyle w:val="RiosDiaz2"/>
        <w:jc w:val="left"/>
        <w:rPr>
          <w:szCs w:val="24"/>
          <w:lang w:val="es-MX"/>
        </w:rPr>
      </w:pPr>
    </w:p>
    <w:p w14:paraId="1E86B0A7" w14:textId="07B9A997" w:rsidR="00E0094D" w:rsidRDefault="00E0094D" w:rsidP="008202B3">
      <w:pPr>
        <w:pStyle w:val="RiosDiaz2"/>
        <w:jc w:val="left"/>
        <w:rPr>
          <w:szCs w:val="24"/>
          <w:lang w:val="es-MX"/>
        </w:rPr>
      </w:pPr>
    </w:p>
    <w:p w14:paraId="78ABC0AC" w14:textId="77777777" w:rsidR="00E0094D" w:rsidRPr="00786807" w:rsidRDefault="00E0094D" w:rsidP="008202B3">
      <w:pPr>
        <w:pStyle w:val="RiosDiaz2"/>
        <w:jc w:val="left"/>
        <w:rPr>
          <w:szCs w:val="24"/>
          <w:lang w:val="es-MX"/>
        </w:rPr>
      </w:pPr>
    </w:p>
    <w:p w14:paraId="5BC3C09F" w14:textId="762E2D32" w:rsidR="00FD03D0" w:rsidRPr="008A7165" w:rsidRDefault="00FD03D0" w:rsidP="00A93FAD">
      <w:pPr>
        <w:pStyle w:val="Estilo1"/>
        <w:jc w:val="left"/>
      </w:pPr>
      <w:r w:rsidRPr="002E2770">
        <w:lastRenderedPageBreak/>
        <w:t>PARÁMETROS (CONSTANTES)</w:t>
      </w:r>
    </w:p>
    <w:p w14:paraId="7FC17D42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la cantidad de Potencia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MW/año. </w:t>
      </w:r>
    </w:p>
    <w:p w14:paraId="3CEF4397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4200C003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Energía Eléctrica Acumulable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MWh/año. </w:t>
      </w:r>
    </w:p>
    <w:p w14:paraId="31D309DC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14:paraId="082DFD70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CELs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año. </w:t>
      </w:r>
    </w:p>
    <w:p w14:paraId="67607439" w14:textId="77777777" w:rsidR="00FD03D0" w:rsidRPr="00786807" w:rsidRDefault="00FD03D0" w:rsidP="008202B3">
      <w:pPr>
        <w:pStyle w:val="RiosDiaz2"/>
        <w:jc w:val="left"/>
        <w:rPr>
          <w:szCs w:val="24"/>
        </w:rPr>
      </w:pPr>
    </w:p>
    <w:p w14:paraId="7A5793EF" w14:textId="77777777"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CapacidadDePlaca</w:t>
      </w:r>
      <w:r w:rsidR="00B042B4" w:rsidRPr="00786807">
        <w:rPr>
          <w:szCs w:val="24"/>
          <w:vertAlign w:val="subscript"/>
        </w:rPr>
        <w:t>c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no negativo, representa la capacidad de placa</w:t>
      </w:r>
      <w:r w:rsidR="00AF461D" w:rsidRPr="00786807">
        <w:rPr>
          <w:i w:val="0"/>
          <w:szCs w:val="24"/>
        </w:rPr>
        <w:t xml:space="preserve"> en MW</w:t>
      </w:r>
      <w:r w:rsidR="00580CCB" w:rsidRPr="00786807">
        <w:rPr>
          <w:i w:val="0"/>
          <w:szCs w:val="24"/>
        </w:rPr>
        <w:t xml:space="preserve"> de la Central Eléctrica </w:t>
      </w:r>
      <w:r w:rsidR="00580CCB" w:rsidRPr="00786807">
        <w:rPr>
          <w:szCs w:val="24"/>
        </w:rPr>
        <w:t>c</w:t>
      </w:r>
      <w:r w:rsidR="00580CCB" w:rsidRPr="00786807">
        <w:rPr>
          <w:i w:val="0"/>
          <w:szCs w:val="24"/>
        </w:rPr>
        <w:t xml:space="preserve"> que pertenece a </w:t>
      </w:r>
      <w:r w:rsidR="00580CCB" w:rsidRPr="00786807">
        <w:rPr>
          <w:szCs w:val="24"/>
        </w:rPr>
        <w:t>C</w:t>
      </w:r>
      <w:r w:rsidR="00C15219" w:rsidRPr="00786807">
        <w:rPr>
          <w:szCs w:val="24"/>
          <w:vertAlign w:val="subscript"/>
        </w:rPr>
        <w:t xml:space="preserve"> </w:t>
      </w:r>
      <w:r w:rsidR="00C15219" w:rsidRPr="00786807">
        <w:rPr>
          <w:i w:val="0"/>
          <w:szCs w:val="24"/>
        </w:rPr>
        <w:t>.</w:t>
      </w:r>
      <w:r w:rsidRPr="00786807">
        <w:rPr>
          <w:i w:val="0"/>
          <w:szCs w:val="24"/>
        </w:rPr>
        <w:t xml:space="preserve"> </w:t>
      </w:r>
    </w:p>
    <w:p w14:paraId="0CD320E1" w14:textId="77777777" w:rsidR="00762751" w:rsidRPr="00786807" w:rsidRDefault="00762751" w:rsidP="008202B3">
      <w:pPr>
        <w:pStyle w:val="RiosDiaz2"/>
        <w:jc w:val="left"/>
        <w:rPr>
          <w:i w:val="0"/>
        </w:rPr>
      </w:pPr>
    </w:p>
    <w:p w14:paraId="1AA0FE54" w14:textId="77777777" w:rsidR="00762751" w:rsidRDefault="00762751" w:rsidP="00762751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FactorPlanta</w:t>
      </w:r>
      <w:r w:rsidRPr="00786807">
        <w:rPr>
          <w:szCs w:val="24"/>
          <w:vertAlign w:val="subscript"/>
        </w:rPr>
        <w:t>c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el factor de planta en porcentaje de la Central Eléctrica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 xml:space="preserve"> que pertenece a </w:t>
      </w:r>
      <w:r w:rsidRPr="00786807">
        <w:rPr>
          <w:szCs w:val="24"/>
        </w:rPr>
        <w:t>C</w:t>
      </w:r>
      <w:r w:rsidRPr="00786807">
        <w:rPr>
          <w:szCs w:val="24"/>
          <w:vertAlign w:val="subscript"/>
        </w:rPr>
        <w:t xml:space="preserve"> </w:t>
      </w:r>
      <w:r w:rsidRPr="00786807">
        <w:rPr>
          <w:i w:val="0"/>
          <w:szCs w:val="24"/>
        </w:rPr>
        <w:t xml:space="preserve">. </w:t>
      </w:r>
    </w:p>
    <w:p w14:paraId="523E69BB" w14:textId="77777777" w:rsidR="000D237F" w:rsidRDefault="000D237F" w:rsidP="00762751">
      <w:pPr>
        <w:pStyle w:val="RiosDiaz2"/>
        <w:jc w:val="left"/>
        <w:rPr>
          <w:i w:val="0"/>
          <w:szCs w:val="24"/>
        </w:rPr>
      </w:pPr>
    </w:p>
    <w:p w14:paraId="08130C90" w14:textId="77777777" w:rsidR="000D237F" w:rsidRDefault="000D237F" w:rsidP="000D237F">
      <w:pPr>
        <w:pStyle w:val="RiosDiaz2"/>
        <w:jc w:val="left"/>
        <w:rPr>
          <w:i w:val="0"/>
          <w:szCs w:val="24"/>
        </w:rPr>
      </w:pPr>
      <w:r>
        <w:rPr>
          <w:szCs w:val="24"/>
        </w:rPr>
        <w:t>CantidadEEA</w:t>
      </w:r>
      <w:r w:rsidRPr="00786807">
        <w:rPr>
          <w:szCs w:val="24"/>
          <w:vertAlign w:val="subscript"/>
        </w:rPr>
        <w:t>c</w:t>
      </w:r>
      <w:r>
        <w:rPr>
          <w:szCs w:val="24"/>
          <w:vertAlign w:val="subscript"/>
        </w:rPr>
        <w:t>,p</w:t>
      </w:r>
      <w:r w:rsidRPr="00786807">
        <w:rPr>
          <w:szCs w:val="24"/>
        </w:rPr>
        <w:tab/>
      </w:r>
      <w:r>
        <w:rPr>
          <w:i w:val="0"/>
          <w:szCs w:val="24"/>
        </w:rPr>
        <w:t xml:space="preserve">Cantidad de energía eléctrica  que  la central eléctrica </w:t>
      </w:r>
      <w:r w:rsidRPr="002B4424">
        <w:rPr>
          <w:szCs w:val="24"/>
        </w:rPr>
        <w:t>c</w:t>
      </w:r>
      <w:r>
        <w:rPr>
          <w:szCs w:val="24"/>
        </w:rPr>
        <w:t xml:space="preserve"> </w:t>
      </w:r>
      <w:r>
        <w:rPr>
          <w:i w:val="0"/>
          <w:szCs w:val="24"/>
        </w:rPr>
        <w:t xml:space="preserve">destina a honrar la oferta de venta </w:t>
      </w:r>
      <w:r w:rsidRPr="00BD74F8">
        <w:rPr>
          <w:szCs w:val="24"/>
        </w:rPr>
        <w:t>p</w:t>
      </w:r>
      <w:r>
        <w:rPr>
          <w:i w:val="0"/>
          <w:szCs w:val="24"/>
        </w:rPr>
        <w:t xml:space="preserve">. </w:t>
      </w:r>
    </w:p>
    <w:p w14:paraId="3F6B07B2" w14:textId="77777777" w:rsidR="000D237F" w:rsidRDefault="000D237F" w:rsidP="00762751">
      <w:pPr>
        <w:pStyle w:val="RiosDiaz2"/>
        <w:jc w:val="left"/>
        <w:rPr>
          <w:i w:val="0"/>
          <w:szCs w:val="24"/>
        </w:rPr>
      </w:pPr>
    </w:p>
    <w:p w14:paraId="3F7DD4CA" w14:textId="77777777" w:rsidR="00FD03D0" w:rsidRPr="00786807" w:rsidRDefault="00FD03D0" w:rsidP="008A7165">
      <w:pPr>
        <w:pStyle w:val="RiosDiaz2"/>
        <w:tabs>
          <w:tab w:val="clear" w:pos="2835"/>
          <w:tab w:val="left" w:pos="4962"/>
        </w:tabs>
        <w:jc w:val="left"/>
        <w:rPr>
          <w:i w:val="0"/>
          <w:szCs w:val="24"/>
        </w:rPr>
      </w:pPr>
      <w:r w:rsidRPr="00786807">
        <w:rPr>
          <w:szCs w:val="24"/>
        </w:rPr>
        <w:t>SinPrelación</w:t>
      </w:r>
      <w:r w:rsidR="00D43106" w:rsidRPr="00786807">
        <w:rPr>
          <w:szCs w:val="24"/>
          <w:vertAlign w:val="subscript"/>
        </w:rPr>
        <w:t>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</w:t>
      </w:r>
      <w:r w:rsidR="008F2394" w:rsidRPr="00786807">
        <w:rPr>
          <w:i w:val="0"/>
          <w:szCs w:val="24"/>
        </w:rPr>
        <w:t xml:space="preserve">la Central </w:t>
      </w:r>
      <w:r w:rsidR="00D72BA1" w:rsidRPr="00786807">
        <w:rPr>
          <w:i w:val="0"/>
          <w:szCs w:val="24"/>
        </w:rPr>
        <w:t>Eléctrica</w:t>
      </w:r>
      <w:r w:rsidR="008F2394" w:rsidRPr="00786807">
        <w:rPr>
          <w:i w:val="0"/>
          <w:szCs w:val="24"/>
        </w:rPr>
        <w:t xml:space="preserve"> </w:t>
      </w:r>
      <w:r w:rsidR="008F2394" w:rsidRPr="00786807">
        <w:rPr>
          <w:szCs w:val="24"/>
        </w:rPr>
        <w:t>c</w:t>
      </w:r>
      <w:r w:rsidR="008F2394" w:rsidRPr="00786807">
        <w:rPr>
          <w:i w:val="0"/>
          <w:szCs w:val="24"/>
        </w:rPr>
        <w:t xml:space="preserve"> que pertenece </w:t>
      </w:r>
      <w:r w:rsidR="000F1398" w:rsidRPr="00786807">
        <w:rPr>
          <w:i w:val="0"/>
          <w:szCs w:val="24"/>
        </w:rPr>
        <w:t xml:space="preserve">a </w:t>
      </w:r>
      <w:r w:rsidR="000F1398" w:rsidRPr="00786807">
        <w:rPr>
          <w:szCs w:val="24"/>
        </w:rPr>
        <w:t>C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no tiene prelación para su interconexión, 0 si tiene prelación o ya se encuentra interconectada al SEN.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>del Paquete</w:t>
      </w:r>
      <w:r w:rsidRPr="00786807">
        <w:rPr>
          <w:szCs w:val="24"/>
        </w:rPr>
        <w:t xml:space="preserve"> 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 Verificado por el CENACE.</w:t>
      </w:r>
    </w:p>
    <w:p w14:paraId="595914C2" w14:textId="77777777" w:rsidR="00FD03D0" w:rsidRPr="008A7165" w:rsidRDefault="00FD03D0" w:rsidP="008A7165">
      <w:pPr>
        <w:pStyle w:val="RiosDiaz2"/>
        <w:jc w:val="left"/>
        <w:rPr>
          <w:i w:val="0"/>
        </w:rPr>
      </w:pPr>
    </w:p>
    <w:p w14:paraId="497E4C57" w14:textId="77777777" w:rsidR="00FD03D0" w:rsidRPr="00786807" w:rsidRDefault="00FD03D0" w:rsidP="008A7165">
      <w:pPr>
        <w:pStyle w:val="RiosDiaz2"/>
        <w:tabs>
          <w:tab w:val="clear" w:pos="2835"/>
        </w:tabs>
        <w:jc w:val="left"/>
        <w:rPr>
          <w:i w:val="0"/>
          <w:szCs w:val="24"/>
        </w:rPr>
      </w:pPr>
      <w:r w:rsidRPr="00786807">
        <w:rPr>
          <w:szCs w:val="24"/>
        </w:rPr>
        <w:t>FechaIrrAnt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 xml:space="preserve">tiene una fecha de inicio irregular antes de la fecha de inicio estándar, 0 si no. </w:t>
      </w:r>
    </w:p>
    <w:p w14:paraId="0D4374BC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6FE1FC94" w14:textId="77777777" w:rsidR="00FD03D0" w:rsidRPr="00786807" w:rsidRDefault="00FD03D0" w:rsidP="008A7165">
      <w:pPr>
        <w:pStyle w:val="RiosDiaz2"/>
        <w:tabs>
          <w:tab w:val="clear" w:pos="2835"/>
        </w:tabs>
        <w:jc w:val="left"/>
        <w:rPr>
          <w:i w:val="0"/>
          <w:szCs w:val="24"/>
        </w:rPr>
      </w:pPr>
      <w:r w:rsidRPr="00786807">
        <w:rPr>
          <w:szCs w:val="24"/>
        </w:rPr>
        <w:t>FechaIrrDesp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 tiene una fecha de inicio irregular después de la fecha de inicio estándar, 0 si no. </w:t>
      </w:r>
    </w:p>
    <w:p w14:paraId="4BA3A104" w14:textId="77777777" w:rsidR="00FD03D0" w:rsidRPr="008A7165" w:rsidRDefault="00FD03D0" w:rsidP="008A7165">
      <w:pPr>
        <w:pStyle w:val="RiosDiaz2"/>
        <w:jc w:val="left"/>
        <w:rPr>
          <w:i w:val="0"/>
        </w:rPr>
      </w:pPr>
    </w:p>
    <w:p w14:paraId="5F64FBFB" w14:textId="77777777" w:rsidR="00FD03D0" w:rsidRPr="00786807" w:rsidRDefault="00FD03D0" w:rsidP="008A7165">
      <w:pPr>
        <w:pStyle w:val="RiosDiaz2"/>
        <w:ind w:left="0" w:firstLine="0"/>
        <w:jc w:val="left"/>
        <w:rPr>
          <w:szCs w:val="24"/>
        </w:rPr>
      </w:pPr>
    </w:p>
    <w:p w14:paraId="4023AABE" w14:textId="77777777"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PrecioPaquete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real, representa el precio “ajustado” de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$/año, a fin de reflejar la ubicación de la oferta</w:t>
      </w:r>
      <w:r w:rsidR="00B46EBA" w:rsidRPr="00786807">
        <w:rPr>
          <w:i w:val="0"/>
          <w:szCs w:val="24"/>
        </w:rPr>
        <w:t xml:space="preserve"> y la elección de indexar pagos a dólares</w:t>
      </w:r>
      <w:r w:rsidR="005557EE" w:rsidRPr="00786807">
        <w:rPr>
          <w:i w:val="0"/>
          <w:szCs w:val="24"/>
        </w:rPr>
        <w:t>, de acuerdo con la siguiente fórmula:</w:t>
      </w:r>
      <w:r w:rsidRPr="00786807">
        <w:rPr>
          <w:szCs w:val="24"/>
        </w:rPr>
        <w:t xml:space="preserve"> </w:t>
      </w:r>
    </w:p>
    <w:p w14:paraId="335A1DB5" w14:textId="77777777" w:rsidR="00FD03D0" w:rsidRPr="00786807" w:rsidRDefault="00FD03D0" w:rsidP="008202B3">
      <w:pPr>
        <w:pStyle w:val="RiosDiaz2"/>
        <w:jc w:val="left"/>
        <w:rPr>
          <w:szCs w:val="24"/>
        </w:rPr>
      </w:pPr>
    </w:p>
    <w:p w14:paraId="233264B3" w14:textId="77777777" w:rsidR="00FD03D0" w:rsidRPr="00786807" w:rsidRDefault="00991EC3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=</m:t>
          </m:r>
        </m:oMath>
      </m:oMathPara>
    </w:p>
    <w:p w14:paraId="5F4DE67D" w14:textId="77777777" w:rsidR="00FD03D0" w:rsidRPr="008202B3" w:rsidRDefault="00991EC3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HoraDeRecepcion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-HoraDeInicio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1000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14:paraId="4A9043D8" w14:textId="77777777"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14:paraId="1B8787AB" w14:textId="77777777" w:rsidR="005557EE" w:rsidRPr="00786807" w:rsidRDefault="005557EE" w:rsidP="00786807">
      <w:pPr>
        <w:pStyle w:val="RiosDiaz2"/>
        <w:tabs>
          <w:tab w:val="clear" w:pos="2835"/>
          <w:tab w:val="left" w:pos="4962"/>
        </w:tabs>
        <w:ind w:left="567" w:firstLine="0"/>
        <w:jc w:val="left"/>
        <w:rPr>
          <w:i w:val="0"/>
          <w:sz w:val="24"/>
          <w:szCs w:val="24"/>
        </w:rPr>
      </w:pPr>
      <w:r w:rsidRPr="00786807">
        <w:rPr>
          <w:i w:val="0"/>
          <w:sz w:val="24"/>
          <w:szCs w:val="24"/>
        </w:rPr>
        <w:t xml:space="preserve">Donde: </w:t>
      </w:r>
    </w:p>
    <w:p w14:paraId="396C6890" w14:textId="77777777" w:rsidR="005557EE" w:rsidRPr="00786807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szCs w:val="24"/>
        </w:rPr>
      </w:pPr>
    </w:p>
    <w:p w14:paraId="0EF4340F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w:lastRenderedPageBreak/>
          <m:t>∆</m:t>
        </m:r>
      </m:oMath>
      <w:r w:rsidRPr="00786807">
        <w:rPr>
          <w:szCs w:val="24"/>
        </w:rPr>
        <w:t>PML</w:t>
      </w:r>
      <w:r w:rsidRPr="00786807">
        <w:rPr>
          <w:szCs w:val="24"/>
          <w:vertAlign w:val="subscript"/>
        </w:rPr>
        <w:t>z</w:t>
      </w:r>
      <w:r w:rsidR="00001F5A" w:rsidRPr="00786807">
        <w:rPr>
          <w:szCs w:val="24"/>
          <w:vertAlign w:val="subscript"/>
        </w:rPr>
        <w:t>pr</w:t>
      </w:r>
      <w:r w:rsidRPr="00786807">
        <w:rPr>
          <w:szCs w:val="24"/>
        </w:rPr>
        <w:t xml:space="preserve"> </w:t>
      </w:r>
      <w:r w:rsidR="005557EE" w:rsidRPr="00786807">
        <w:rPr>
          <w:szCs w:val="24"/>
        </w:rPr>
        <w:t xml:space="preserve">       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r w:rsidRPr="00786807">
        <w:rPr>
          <w:szCs w:val="24"/>
        </w:rPr>
        <w:t>z</w:t>
      </w:r>
      <w:r w:rsidR="00001F5A" w:rsidRPr="00786807">
        <w:rPr>
          <w:szCs w:val="24"/>
        </w:rPr>
        <w:t>pr</w:t>
      </w:r>
      <w:r w:rsidRPr="00786807">
        <w:rPr>
          <w:i w:val="0"/>
          <w:szCs w:val="24"/>
        </w:rPr>
        <w:t xml:space="preserve"> donde se ubica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, en $/MWh, ambos en valor nivelado durante el plazo considerando en la Subasta, a fin de reflejar la ubicación de la oferta. </w:t>
      </w:r>
    </w:p>
    <w:p w14:paraId="497DCB76" w14:textId="77777777"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79F3478E" w14:textId="6AD73127"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HoraDeRecepcion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el número de horas que pasaron entre el inicio del periodo en el cual se permite la recepción de ofertas y la hora real de presentación de la oferta económica de la Oferta de Venta, en términos de la cl</w:t>
      </w:r>
      <w:r w:rsidR="000D2647" w:rsidRPr="00786807">
        <w:rPr>
          <w:i w:val="0"/>
          <w:szCs w:val="24"/>
        </w:rPr>
        <w:t>á</w:t>
      </w:r>
      <w:r w:rsidRPr="00786807">
        <w:rPr>
          <w:i w:val="0"/>
          <w:szCs w:val="24"/>
        </w:rPr>
        <w:t xml:space="preserve">usula 6.4.5 de las Bases de </w:t>
      </w:r>
      <w:r w:rsidR="00CD6036">
        <w:rPr>
          <w:i w:val="0"/>
          <w:szCs w:val="24"/>
        </w:rPr>
        <w:t>Licitación</w:t>
      </w:r>
      <w:r w:rsidRPr="00786807">
        <w:rPr>
          <w:i w:val="0"/>
          <w:szCs w:val="24"/>
        </w:rPr>
        <w:t>.</w:t>
      </w:r>
    </w:p>
    <w:p w14:paraId="050CFCB0" w14:textId="77777777"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5E46A734" w14:textId="77777777"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HoraDeInicio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la hora a partir de la cual se permite la presentación de las ofertas económicas de las Ofertas de Venta.</w:t>
      </w:r>
    </w:p>
    <w:p w14:paraId="578969BB" w14:textId="77777777"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4DA9FDBB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0D77BDC3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PrecioOriginalPaquete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 xml:space="preserve">para el Paquete </w:t>
      </w:r>
      <w:r w:rsidRPr="00786807">
        <w:rPr>
          <w:szCs w:val="24"/>
        </w:rPr>
        <w:t>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</w:t>
      </w:r>
    </w:p>
    <w:p w14:paraId="45B7989D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2F669069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FactorDevEsp</w:t>
      </w:r>
      <w:r w:rsidR="00086237" w:rsidRPr="00786807">
        <w:rPr>
          <w:i w:val="0"/>
          <w:szCs w:val="24"/>
        </w:rPr>
        <w:tab/>
      </w:r>
      <w:r w:rsidRPr="00786807">
        <w:rPr>
          <w:i w:val="0"/>
          <w:szCs w:val="24"/>
        </w:rPr>
        <w:t>La razón entre el costo esperado de una oferta indexada en Dólares y una oferta indexada en Pesos, calculada en términos de la sección 4.6 de</w:t>
      </w:r>
      <w:r w:rsidR="003E5DBD" w:rsidRPr="00786807">
        <w:rPr>
          <w:i w:val="0"/>
          <w:szCs w:val="24"/>
        </w:rPr>
        <w:t>l</w:t>
      </w:r>
      <w:r w:rsidRPr="00786807">
        <w:rPr>
          <w:i w:val="0"/>
          <w:szCs w:val="24"/>
        </w:rPr>
        <w:t xml:space="preserve"> Manual.</w:t>
      </w:r>
    </w:p>
    <w:p w14:paraId="0CBEC9AA" w14:textId="77777777"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0E4B371B" w14:textId="79ACF5F3"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FactorPrefPesos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</w:t>
      </w:r>
      <w:r w:rsidR="000D237F">
        <w:rPr>
          <w:i w:val="0"/>
          <w:szCs w:val="24"/>
        </w:rPr>
        <w:t xml:space="preserve">2 </w:t>
      </w:r>
      <w:r w:rsidRPr="00786807">
        <w:rPr>
          <w:i w:val="0"/>
          <w:szCs w:val="24"/>
        </w:rPr>
        <w:t>del Manual.</w:t>
      </w:r>
    </w:p>
    <w:p w14:paraId="768DD10F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14:paraId="399A2CE1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IndexUSD</w:t>
      </w:r>
      <w:r w:rsidRPr="00786807">
        <w:rPr>
          <w:szCs w:val="24"/>
          <w:vertAlign w:val="subscript"/>
        </w:rPr>
        <w:t>p</w:t>
      </w:r>
      <w:r w:rsidR="005557EE" w:rsidRPr="00786807">
        <w:rPr>
          <w:szCs w:val="24"/>
        </w:rPr>
        <w:t xml:space="preserve">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Dólares, 0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Pesos.</w:t>
      </w:r>
    </w:p>
    <w:p w14:paraId="6AB87419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14:paraId="414AE469" w14:textId="77777777"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14:paraId="71295740" w14:textId="77777777" w:rsidR="00FD03D0" w:rsidRPr="00786807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bp</m:t>
            </m:r>
          </m:sub>
        </m:sSub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potencia incluida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MW/año. </w:t>
      </w:r>
    </w:p>
    <w:p w14:paraId="5A051A8D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0D86712" w14:textId="77777777" w:rsidR="00FD03D0" w:rsidRPr="00786807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be</m:t>
            </m:r>
          </m:sub>
        </m:sSub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Energía Eléctrica Acumulable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>oferta</w:t>
      </w:r>
      <w:r w:rsidR="00EB4433" w:rsidRPr="00786807">
        <w:rPr>
          <w:i w:val="0"/>
          <w:szCs w:val="24"/>
        </w:rPr>
        <w:t xml:space="preserve"> de compra</w:t>
      </w:r>
      <w:r w:rsidR="008A5394" w:rsidRPr="00786807">
        <w:rPr>
          <w:i w:val="0"/>
          <w:szCs w:val="24"/>
        </w:rPr>
        <w:t>)</w:t>
      </w:r>
      <w:r w:rsidR="00FD03D0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be</w:t>
      </w:r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MWh/año. </w:t>
      </w:r>
    </w:p>
    <w:p w14:paraId="58F6DAD4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1135E730" w14:textId="77777777" w:rsidR="00FD03D0" w:rsidRPr="00786807" w:rsidRDefault="00AC58EC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  <w:lang w:val="es-MX"/>
          </w:rPr>
          <m:t>Dem</m:t>
        </m:r>
        <m:sSub>
          <m:sSub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bc</m:t>
            </m:r>
          </m:sub>
        </m:sSub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CELs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bc</w:t>
      </w:r>
      <w:r w:rsidR="00EB4433" w:rsidRPr="00786807">
        <w:rPr>
          <w:szCs w:val="24"/>
        </w:rPr>
        <w:t>,</w:t>
      </w:r>
      <w:r w:rsidR="00FD03D0" w:rsidRPr="00786807">
        <w:rPr>
          <w:i w:val="0"/>
          <w:szCs w:val="24"/>
        </w:rPr>
        <w:t xml:space="preserve"> en CELs por año. </w:t>
      </w:r>
    </w:p>
    <w:p w14:paraId="5BF2CCB1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0CA37B3E" w14:textId="396293B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r w:rsidRPr="00786807">
        <w:rPr>
          <w:szCs w:val="24"/>
          <w:vertAlign w:val="subscript"/>
        </w:rPr>
        <w:tab/>
      </w:r>
      <w:r w:rsidR="00CD6036">
        <w:rPr>
          <w:i w:val="0"/>
          <w:szCs w:val="24"/>
        </w:rPr>
        <w:t xml:space="preserve">Parámetro </w:t>
      </w:r>
      <w:r w:rsidRPr="00786807">
        <w:rPr>
          <w:i w:val="0"/>
          <w:szCs w:val="24"/>
        </w:rPr>
        <w:t xml:space="preserve">real no negativo, representa el precio (máximo) de compra de Potencia para la banda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szCs w:val="24"/>
        </w:rPr>
        <w:t xml:space="preserve">,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>MW por año.</w:t>
      </w:r>
    </w:p>
    <w:p w14:paraId="76BBC44D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C66A274" w14:textId="4F3025BD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(máximo) de compra de Energía Eléctrica Acumulable para la banda </w:t>
      </w:r>
      <w:r w:rsidRPr="00786807">
        <w:rPr>
          <w:szCs w:val="24"/>
        </w:rPr>
        <w:t xml:space="preserve">be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MWh por año. </w:t>
      </w:r>
    </w:p>
    <w:p w14:paraId="287305F2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5FB7EB88" w14:textId="28D167C5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(máximo) de compra de CELs para la banda </w:t>
      </w:r>
      <w:r w:rsidRPr="00786807">
        <w:rPr>
          <w:szCs w:val="24"/>
        </w:rPr>
        <w:t xml:space="preserve">bc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CEL por año. </w:t>
      </w:r>
    </w:p>
    <w:p w14:paraId="2DD39959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9AEB61D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E8D34A7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KFechaIrrAnt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[0,1], define el porcentaje (pu) máximo de Potencia que las Entidades Responsables de Carga están dispuestas a adquirir de fuentes con fecha de inicio irregular antes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14:paraId="7A29B465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CFA7CB4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KFechaIrrDesp</w:t>
      </w:r>
      <w:r w:rsidRPr="00786807">
        <w:rPr>
          <w:b/>
          <w:szCs w:val="24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Potencia que las Entidades Responsables de Carga están dispuestas a adquirir, de fuentes con fecha de inicio irregular después de la fecha de inicio estándar. </w:t>
      </w:r>
    </w:p>
    <w:p w14:paraId="208EE287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2495266B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KFechaIrrAnt</w:t>
      </w:r>
      <w:r w:rsidRPr="00786807">
        <w:rPr>
          <w:b/>
          <w:szCs w:val="24"/>
        </w:rPr>
        <w:t>C</w:t>
      </w:r>
      <w:r w:rsidRPr="00786807">
        <w:rPr>
          <w:b/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CELs que las Entidades Responsables de Carga están dispuestas a adquirir de fuentes con fecha de inicio irregular antes de la fecha de inicio estándar. </w:t>
      </w:r>
    </w:p>
    <w:p w14:paraId="08EF9464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6A1C78AC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KFechaIrrDesp</w:t>
      </w:r>
      <w:r w:rsidRPr="00786807">
        <w:rPr>
          <w:b/>
          <w:szCs w:val="24"/>
        </w:rPr>
        <w:t>C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[0,1], define el porcentaje (pu) máximo de CELs que las Entidades Responsables de Carga están dispuestas a adquirir de fuentes con fecha de inicio irregular después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14:paraId="614E4F1A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14:paraId="143D7283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LimInterconexionZI</w:t>
      </w:r>
      <w:r w:rsidRPr="00786807">
        <w:rPr>
          <w:szCs w:val="24"/>
          <w:vertAlign w:val="subscript"/>
        </w:rPr>
        <w:t>zi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máximo de interconexión de la Zona de Interconexión </w:t>
      </w:r>
      <w:r w:rsidRPr="00786807">
        <w:rPr>
          <w:szCs w:val="24"/>
        </w:rPr>
        <w:t>zi</w:t>
      </w:r>
      <w:r w:rsidRPr="00786807">
        <w:rPr>
          <w:i w:val="0"/>
          <w:szCs w:val="24"/>
        </w:rPr>
        <w:t>, en MW. Definido por el CENACE.</w:t>
      </w:r>
    </w:p>
    <w:p w14:paraId="145ECBCE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13BD6ADE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LimEnergíaEléctricaZE</w:t>
      </w:r>
      <w:r w:rsidRPr="00786807">
        <w:rPr>
          <w:szCs w:val="24"/>
          <w:vertAlign w:val="subscript"/>
        </w:rPr>
        <w:t>ze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de exportación de la Zona de Exportación </w:t>
      </w:r>
      <w:r w:rsidRPr="00786807">
        <w:rPr>
          <w:szCs w:val="24"/>
        </w:rPr>
        <w:t>ze</w:t>
      </w:r>
      <w:r w:rsidRPr="00786807">
        <w:rPr>
          <w:i w:val="0"/>
          <w:szCs w:val="24"/>
        </w:rPr>
        <w:t>, en MW/año. Definido por el CENACE.</w:t>
      </w:r>
    </w:p>
    <w:p w14:paraId="64B96FA2" w14:textId="77777777"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14:paraId="38FC8167" w14:textId="77777777" w:rsidR="00FD03D0" w:rsidRPr="002E2770" w:rsidRDefault="00FD03D0" w:rsidP="002E2770">
      <w:pPr>
        <w:pStyle w:val="Estilo1"/>
      </w:pPr>
      <w:r w:rsidRPr="002E2770">
        <w:t>VARIABLES</w:t>
      </w:r>
    </w:p>
    <w:p w14:paraId="49FD274E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b/>
          <w:szCs w:val="24"/>
        </w:rPr>
        <w:t>u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binaria,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>es seleccionado, 0 si no es seleccionado.</w:t>
      </w:r>
    </w:p>
    <w:p w14:paraId="0FD9C1D7" w14:textId="77777777" w:rsidR="00F73A6C" w:rsidRPr="00786807" w:rsidRDefault="00F73A6C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FEE1B2A" w14:textId="77777777" w:rsidR="00F73A6C" w:rsidRPr="00786807" w:rsidRDefault="00343791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b/>
          <w:szCs w:val="24"/>
        </w:rPr>
        <w:t>u</w:t>
      </w:r>
      <w:r w:rsidR="00F73A6C" w:rsidRPr="00786807">
        <w:rPr>
          <w:szCs w:val="24"/>
          <w:vertAlign w:val="subscript"/>
        </w:rPr>
        <w:t>c</w:t>
      </w:r>
      <w:r w:rsidR="00F73A6C" w:rsidRPr="00786807">
        <w:rPr>
          <w:szCs w:val="24"/>
        </w:rPr>
        <w:tab/>
      </w:r>
      <w:r w:rsidR="00F73A6C" w:rsidRPr="00786807">
        <w:rPr>
          <w:i w:val="0"/>
          <w:szCs w:val="24"/>
        </w:rPr>
        <w:t xml:space="preserve">Variable binaria, 1 si </w:t>
      </w:r>
      <w:r w:rsidRPr="00786807">
        <w:rPr>
          <w:i w:val="0"/>
          <w:szCs w:val="24"/>
        </w:rPr>
        <w:t xml:space="preserve">la central </w:t>
      </w:r>
      <w:r w:rsidRPr="00786807">
        <w:rPr>
          <w:szCs w:val="24"/>
        </w:rPr>
        <w:t>c</w:t>
      </w:r>
      <w:r w:rsidR="00F73A6C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>es seleccionada, 0 si no es seleccionada.</w:t>
      </w:r>
    </w:p>
    <w:p w14:paraId="5C94EDBA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5870DFBF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i w:val="0"/>
          <w:szCs w:val="24"/>
        </w:rPr>
        <w:t>, en MW/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Potencia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14:paraId="7D4480CB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480DE6DA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Energía Eléctrica Acumulable </w:t>
      </w:r>
      <w:r w:rsidRPr="00786807">
        <w:rPr>
          <w:szCs w:val="24"/>
        </w:rPr>
        <w:t>be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Energía Eléctrica Acumulable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14:paraId="585E23D1" w14:textId="77777777"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14:paraId="2E90F4F9" w14:textId="77777777" w:rsidR="00FD03D0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 </w:t>
      </w:r>
      <w:r w:rsidRPr="00786807">
        <w:rPr>
          <w:szCs w:val="24"/>
        </w:rPr>
        <w:t>bc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CELs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14:paraId="0D134DB7" w14:textId="77777777" w:rsidR="0031281C" w:rsidRPr="002E2770" w:rsidRDefault="0031281C" w:rsidP="0031281C">
      <w:pPr>
        <w:pStyle w:val="Estilo1"/>
      </w:pPr>
      <w:r w:rsidRPr="002E2770">
        <w:t>FUNC</w:t>
      </w:r>
      <w:r>
        <w:t>I</w:t>
      </w:r>
      <w:r w:rsidRPr="002E2770">
        <w:t>ÓN OBJETIVO</w:t>
      </w:r>
    </w:p>
    <w:p w14:paraId="38992CD0" w14:textId="77777777" w:rsidR="0031281C" w:rsidRPr="008202B3" w:rsidRDefault="00991EC3" w:rsidP="0031281C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14:paraId="6758FE67" w14:textId="77777777" w:rsidR="0031281C" w:rsidRPr="008202B3" w:rsidRDefault="0031281C" w:rsidP="0031281C">
      <w:pPr>
        <w:rPr>
          <w:rFonts w:ascii="Arial" w:hAnsi="Arial" w:cs="Arial"/>
        </w:rPr>
      </w:pPr>
    </w:p>
    <w:p w14:paraId="5C24A343" w14:textId="77777777" w:rsidR="0031281C" w:rsidRPr="002E2770" w:rsidRDefault="0031281C" w:rsidP="0031281C">
      <w:pPr>
        <w:ind w:left="567"/>
        <w:rPr>
          <w:rFonts w:asciiTheme="minorHAnsi" w:eastAsia="Calibri" w:hAnsiTheme="minorHAnsi" w:cs="Arial"/>
          <w:b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b/>
          <w:szCs w:val="22"/>
          <w:lang w:val="es-MX" w:eastAsia="en-US" w:bidi="en-US"/>
        </w:rPr>
        <w:t>Sujeto a:</w:t>
      </w:r>
    </w:p>
    <w:p w14:paraId="0498261F" w14:textId="77777777" w:rsidR="0031281C" w:rsidRPr="00A13DE3" w:rsidRDefault="0031281C" w:rsidP="0031281C">
      <w:pPr>
        <w:rPr>
          <w:rFonts w:ascii="Arial" w:hAnsi="Arial" w:cs="Arial"/>
          <w:b/>
          <w:u w:val="single"/>
        </w:rPr>
      </w:pPr>
    </w:p>
    <w:p w14:paraId="5BFB3280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tres restricciones asegurarán que la cantidad de cada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P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roducto asignada a cada banda (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ompra) sea menor o igual a la cantidad incluida en dicha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4ECD3E07" w14:textId="77777777" w:rsidR="0031281C" w:rsidRPr="008202B3" w:rsidRDefault="0031281C" w:rsidP="0031281C">
      <w:pPr>
        <w:rPr>
          <w:rFonts w:ascii="Arial" w:hAnsi="Arial" w:cs="Arial"/>
          <w:b/>
          <w:u w:val="single"/>
        </w:rPr>
      </w:pPr>
    </w:p>
    <w:p w14:paraId="32D1711B" w14:textId="7F514A0D" w:rsidR="0031281C" w:rsidRPr="0031281C" w:rsidRDefault="00991EC3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P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14:paraId="27ECD521" w14:textId="77777777" w:rsidR="0031281C" w:rsidRPr="0031281C" w:rsidRDefault="00991EC3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E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14:paraId="43B90EEE" w14:textId="77777777" w:rsidR="0031281C" w:rsidRPr="0031281C" w:rsidRDefault="00991EC3" w:rsidP="0031281C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r>
            <w:rPr>
              <w:rFonts w:ascii="Cambria Math" w:hAnsi="Cambria Math"/>
              <w:szCs w:val="24"/>
              <w:lang w:val="es-MX"/>
            </w:rPr>
            <m:t>Dem</m:t>
          </m:r>
          <m:sSub>
            <m:sSubPr>
              <m:ctrlPr>
                <w:rPr>
                  <w:rFonts w:ascii="Cambria Math" w:hAnsi="Cambria Math"/>
                  <w:b/>
                  <w:szCs w:val="24"/>
                  <w:lang w:val="es-MX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es-MX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  <w:lang w:val="es-MX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14:paraId="2D7EA64A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(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seleccionados contengan una cantidad de Potencia suficiente para proporcionar la cantidad asignada a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6EBE38F3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129BBAD7" w14:textId="77777777" w:rsidR="0031281C" w:rsidRPr="00796B98" w:rsidRDefault="00991EC3" w:rsidP="0031281C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14:paraId="7B5B879E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Potencia en los paquetes seleccionados con fechas irregulares no rebase el porcentaje definido en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14:paraId="016EBD7A" w14:textId="368642A2" w:rsidR="0031281C" w:rsidRPr="008202B3" w:rsidRDefault="00991EC3" w:rsidP="0031281C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14:paraId="10679537" w14:textId="4EBA7071" w:rsidR="0031281C" w:rsidRPr="008202B3" w:rsidRDefault="00991EC3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14:paraId="70D412AE" w14:textId="77777777" w:rsidR="0031281C" w:rsidRPr="008202B3" w:rsidRDefault="0031281C" w:rsidP="0031281C">
      <w:pPr>
        <w:rPr>
          <w:rFonts w:ascii="Arial" w:eastAsiaTheme="minorEastAsia" w:hAnsi="Arial" w:cs="Arial"/>
        </w:rPr>
      </w:pPr>
    </w:p>
    <w:p w14:paraId="12DD8F4B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(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seleccionados contengan una cantidad de Energía Eléctrica Acumulable suficiente para proporcionar la cantidad asignada a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58CEE5AB" w14:textId="77777777" w:rsidR="0031281C" w:rsidRPr="008202B3" w:rsidRDefault="00991EC3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14:paraId="144DBE85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paquetes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(O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seleccionados contengan una cantidad de CELs suficiente para proporcionar la cantidad asignada a las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14:paraId="0592AF4A" w14:textId="77777777" w:rsidR="0031281C" w:rsidRPr="00796B98" w:rsidRDefault="00991EC3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14:paraId="675B5B7C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Las siguientes restricciones aseguran que la cantidad de CELs en los paquetes seleccionados con fechas irregulares no rebase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 xml:space="preserve"> el porcentaje definido en las 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14:paraId="36D18754" w14:textId="5A72CFD7" w:rsidR="0031281C" w:rsidRPr="008202B3" w:rsidRDefault="00991EC3" w:rsidP="0031281C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14:paraId="1F416ED8" w14:textId="5A2AD88E" w:rsidR="0031281C" w:rsidRPr="00796B98" w:rsidRDefault="00991EC3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Dem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14:paraId="2C461954" w14:textId="77777777" w:rsidR="0031281C" w:rsidRPr="00A13DE3" w:rsidRDefault="0031281C" w:rsidP="0031281C">
      <w:pPr>
        <w:rPr>
          <w:rFonts w:ascii="Arial" w:eastAsiaTheme="minorEastAsia" w:hAnsi="Arial" w:cs="Arial"/>
        </w:rPr>
      </w:pPr>
    </w:p>
    <w:p w14:paraId="18468296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se respeten las ofertas de paquetes condicionadas:</w:t>
      </w:r>
    </w:p>
    <w:p w14:paraId="640C6A83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B5F225E" w14:textId="77777777" w:rsidR="0031281C" w:rsidRPr="008202B3" w:rsidRDefault="00991EC3" w:rsidP="0031281C">
      <w:pPr>
        <w:jc w:val="center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∀ oci∈OC  </m:t>
        </m:r>
      </m:oMath>
      <w:r w:rsidR="0031281C" w:rsidRPr="00A13DE3">
        <w:rPr>
          <w:rFonts w:ascii="Arial" w:hAnsi="Arial"/>
        </w:rPr>
        <w:t>|</w:t>
      </w:r>
      <w:r w:rsidR="0031281C" w:rsidRPr="008202B3">
        <w:rPr>
          <w:rFonts w:ascii="Arial" w:hAnsi="Arial"/>
        </w:rPr>
        <w:t xml:space="preserve"> </w:t>
      </w:r>
      <w:r w:rsidR="0031281C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oci=(p,pi)</m:t>
        </m:r>
      </m:oMath>
    </w:p>
    <w:p w14:paraId="1BB656E1" w14:textId="77777777" w:rsidR="0031281C" w:rsidRPr="00796B98" w:rsidRDefault="0031281C" w:rsidP="0031281C">
      <w:pPr>
        <w:rPr>
          <w:rFonts w:ascii="Arial" w:eastAsiaTheme="minorEastAsia" w:hAnsi="Arial" w:cs="Arial"/>
        </w:rPr>
      </w:pPr>
    </w:p>
    <w:p w14:paraId="3D2FAA57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se respeten las ofertas de paquetes mutuamente excluyentes:</w:t>
      </w:r>
    </w:p>
    <w:p w14:paraId="68A692B6" w14:textId="77777777" w:rsidR="0031281C" w:rsidRPr="008202B3" w:rsidRDefault="0031281C" w:rsidP="0031281C">
      <w:pPr>
        <w:rPr>
          <w:rFonts w:ascii="Arial" w:eastAsiaTheme="minorEastAsia" w:hAnsi="Arial" w:cs="Arial"/>
        </w:rPr>
      </w:pPr>
    </w:p>
    <w:p w14:paraId="5957386B" w14:textId="77777777" w:rsidR="0031281C" w:rsidRPr="00796B98" w:rsidRDefault="00991EC3" w:rsidP="0031281C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∀ omei∈OME</m:t>
          </m:r>
        </m:oMath>
      </m:oMathPara>
    </w:p>
    <w:p w14:paraId="021C34B8" w14:textId="77777777" w:rsidR="0031281C" w:rsidRPr="00A13DE3" w:rsidRDefault="0031281C" w:rsidP="0031281C">
      <w:pPr>
        <w:rPr>
          <w:rFonts w:ascii="Arial" w:eastAsiaTheme="minorEastAsia" w:hAnsi="Arial" w:cs="Arial"/>
        </w:rPr>
      </w:pPr>
    </w:p>
    <w:p w14:paraId="0F1F3423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Las siguientes restricciones aseguran que las centrales que pertenecen a los Paquetes u Ofertas de Venta no rebasen el límite de capacidad para las Zonas de Interconexión donde el CENACE haya definido límites:</w:t>
      </w:r>
    </w:p>
    <w:p w14:paraId="3B1FEC86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52C197F0" w14:textId="77777777" w:rsidR="0031281C" w:rsidRPr="00A31FCD" w:rsidRDefault="00991EC3" w:rsidP="0031281C">
      <w:pPr>
        <w:rPr>
          <w:rFonts w:ascii="Arial" w:eastAsiaTheme="minorEastAsia" w:hAnsi="Arial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14:paraId="67EEA20F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48CC0B6A" w14:textId="77777777" w:rsidR="0031281C" w:rsidRPr="008A7165" w:rsidRDefault="0031281C" w:rsidP="0031281C">
      <w:pPr>
        <w:ind w:left="567"/>
        <w:jc w:val="both"/>
        <w:rPr>
          <w:rFonts w:eastAsiaTheme="minorEastAsia"/>
          <w:i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</w:t>
      </w:r>
      <w:r>
        <w:rPr>
          <w:rFonts w:asciiTheme="minorHAnsi" w:eastAsia="Calibri" w:hAnsiTheme="minorHAnsi" w:cs="Arial"/>
          <w:szCs w:val="22"/>
          <w:lang w:val="es-MX" w:eastAsia="en-US" w:bidi="en-US"/>
        </w:rPr>
        <w:t xml:space="preserve">relacionan las Ofertas de Venta con las Centrales Eléctricas. </w:t>
      </w:r>
    </w:p>
    <w:p w14:paraId="56DEC5E9" w14:textId="77777777" w:rsidR="0031281C" w:rsidRPr="008A7165" w:rsidRDefault="00991EC3" w:rsidP="0031281C">
      <w:pPr>
        <w:pStyle w:val="RiosDiaz2"/>
        <w:ind w:left="0" w:right="-91" w:firstLine="0"/>
        <w:contextualSpacing w:val="0"/>
        <w:rPr>
          <w:rFonts w:ascii="Arial" w:hAnsi="Arial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                    ∀ p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PAQ(c),∀ c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C</m:t>
          </m:r>
        </m:oMath>
      </m:oMathPara>
    </w:p>
    <w:p w14:paraId="3B5B64C5" w14:textId="03F77BFD" w:rsidR="0031281C" w:rsidRPr="00AF6B7A" w:rsidRDefault="00991EC3" w:rsidP="0031281C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  <m:ctrlPr>
                <w:rPr>
                  <w:rFonts w:ascii="Cambria Math" w:hAnsi="Cambria Math"/>
                  <w:b/>
                </w:rPr>
              </m:ctrlP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p∈PAQ(c)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</w:rPr>
            <m:t xml:space="preserve">                                 ∀ c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C</m:t>
          </m:r>
        </m:oMath>
      </m:oMathPara>
    </w:p>
    <w:p w14:paraId="3C35AD56" w14:textId="77777777" w:rsidR="0031281C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seleccionados no rebasen el límite de Energía Eléctrica Acumulable para las Zonas de Exportación donde el CENACE haya definido límites:</w:t>
      </w:r>
    </w:p>
    <w:p w14:paraId="724798ED" w14:textId="77777777" w:rsidR="0031281C" w:rsidRPr="002E2770" w:rsidRDefault="0031281C" w:rsidP="0031281C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14:paraId="040C1502" w14:textId="77777777" w:rsidR="0031281C" w:rsidRPr="009D3ED4" w:rsidRDefault="00991EC3" w:rsidP="0031281C">
      <w:pPr>
        <w:rPr>
          <w:rFonts w:ascii="Arial" w:eastAsiaTheme="minorEastAsia" w:hAnsi="Arial"/>
          <w:lang w:val="es-MX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c∈C(ze)</m:t>
              </m:r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Arial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p∈PAQ(c)</m:t>
                  </m:r>
                </m:sub>
                <m:sup/>
                <m:e>
                  <m:r>
                    <w:rPr>
                      <w:rFonts w:ascii="Cambria Math" w:hAnsi="Cambria Math" w:cs="Arial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CantidadEE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c,p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SinPrelacion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</m:t>
                      </m:r>
                    </m:sub>
                  </m:sSub>
                </m:e>
              </m:nary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∀ ze</m:t>
          </m:r>
          <m:r>
            <w:rPr>
              <w:rFonts w:ascii="Cambria Math" w:hAnsi="Cambria Math" w:cs="Arial"/>
              <w:lang w:val="es-MX"/>
            </w:rPr>
            <m:t>∈</m:t>
          </m:r>
          <m:r>
            <w:rPr>
              <w:rFonts w:ascii="Cambria Math" w:hAnsi="Cambria Math" w:cs="Arial"/>
              <w:lang w:val="en-US"/>
            </w:rPr>
            <m:t>ZE</m:t>
          </m:r>
        </m:oMath>
      </m:oMathPara>
    </w:p>
    <w:p w14:paraId="3579648D" w14:textId="77777777" w:rsidR="0031281C" w:rsidRPr="00786807" w:rsidRDefault="0031281C" w:rsidP="00786807">
      <w:pPr>
        <w:pStyle w:val="RiosDiaz2"/>
        <w:tabs>
          <w:tab w:val="clear" w:pos="2835"/>
        </w:tabs>
        <w:ind w:left="3119" w:hanging="2693"/>
        <w:jc w:val="left"/>
        <w:rPr>
          <w:sz w:val="20"/>
        </w:rPr>
      </w:pPr>
    </w:p>
    <w:p w14:paraId="0A12CB74" w14:textId="77777777"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F95C29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588" w:right="1247" w:bottom="1077" w:left="1247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3A7A3" w14:textId="77777777" w:rsidR="00991EC3" w:rsidRDefault="00991EC3">
      <w:r>
        <w:separator/>
      </w:r>
    </w:p>
    <w:p w14:paraId="0B12D37D" w14:textId="77777777" w:rsidR="00991EC3" w:rsidRDefault="00991EC3"/>
  </w:endnote>
  <w:endnote w:type="continuationSeparator" w:id="0">
    <w:p w14:paraId="22A22C7A" w14:textId="77777777" w:rsidR="00991EC3" w:rsidRDefault="00991EC3">
      <w:r>
        <w:continuationSeparator/>
      </w:r>
    </w:p>
    <w:p w14:paraId="42911338" w14:textId="77777777" w:rsidR="00991EC3" w:rsidRDefault="00991EC3"/>
  </w:endnote>
  <w:endnote w:type="continuationNotice" w:id="1">
    <w:p w14:paraId="26781C08" w14:textId="77777777" w:rsidR="00991EC3" w:rsidRDefault="00991E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773A" w14:textId="77777777" w:rsidR="00102F85" w:rsidRDefault="00102F85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97DF112" w14:textId="77777777" w:rsidR="00102F85" w:rsidRDefault="00102F85">
    <w:pPr>
      <w:pStyle w:val="Piedepgina"/>
    </w:pPr>
  </w:p>
  <w:p w14:paraId="3F9602E6" w14:textId="77777777" w:rsidR="00102F85" w:rsidRDefault="00102F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5FFD6" w14:textId="77777777" w:rsidR="00102F85" w:rsidRDefault="00102F85" w:rsidP="00C337E2">
    <w:pPr>
      <w:pStyle w:val="Piedepgina"/>
      <w:framePr w:wrap="around" w:vAnchor="text" w:hAnchor="margin" w:xAlign="center" w:y="1"/>
      <w:rPr>
        <w:rStyle w:val="Nmerodepgina"/>
      </w:rPr>
    </w:pPr>
  </w:p>
  <w:p w14:paraId="717485BD" w14:textId="368099DC" w:rsidR="00102F85" w:rsidRPr="00786807" w:rsidRDefault="00991EC3" w:rsidP="00786807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-8854154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-109670038"/>
            <w:docPartObj>
              <w:docPartGallery w:val="Page Numbers (Top of Page)"/>
              <w:docPartUnique/>
            </w:docPartObj>
          </w:sdtPr>
          <w:sdtEndPr/>
          <w:sdtContent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B652B8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102F85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00E4F" w14:textId="77777777" w:rsidR="00991EC3" w:rsidRDefault="00991EC3">
      <w:r>
        <w:separator/>
      </w:r>
    </w:p>
    <w:p w14:paraId="7131C975" w14:textId="77777777" w:rsidR="00991EC3" w:rsidRDefault="00991EC3"/>
  </w:footnote>
  <w:footnote w:type="continuationSeparator" w:id="0">
    <w:p w14:paraId="152D730A" w14:textId="77777777" w:rsidR="00991EC3" w:rsidRDefault="00991EC3">
      <w:r>
        <w:continuationSeparator/>
      </w:r>
    </w:p>
    <w:p w14:paraId="0BA30414" w14:textId="77777777" w:rsidR="00991EC3" w:rsidRDefault="00991EC3"/>
  </w:footnote>
  <w:footnote w:type="continuationNotice" w:id="1">
    <w:p w14:paraId="3CEA9C51" w14:textId="77777777" w:rsidR="00991EC3" w:rsidRDefault="00991E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6036D" w14:textId="77777777" w:rsidR="00102F85" w:rsidRPr="00D041E0" w:rsidRDefault="00102F85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14:paraId="0F4E4C0F" w14:textId="77777777" w:rsidR="00102F85" w:rsidRPr="00362E7A" w:rsidRDefault="00102F85" w:rsidP="00362E7A">
    <w:pPr>
      <w:pStyle w:val="Encabezado"/>
    </w:pPr>
  </w:p>
  <w:p w14:paraId="49C89EA9" w14:textId="77777777" w:rsidR="00102F85" w:rsidRDefault="00102F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102F85" w:rsidRPr="00377AD6" w14:paraId="49DAE3B3" w14:textId="77777777" w:rsidTr="008A7165">
      <w:tc>
        <w:tcPr>
          <w:tcW w:w="5094" w:type="dxa"/>
        </w:tcPr>
        <w:p w14:paraId="0F679B00" w14:textId="77777777" w:rsidR="00102F85" w:rsidRDefault="00102F85" w:rsidP="00786807">
          <w:pPr>
            <w:pStyle w:val="Heather"/>
            <w:jc w:val="left"/>
          </w:pPr>
          <w:r>
            <w:rPr>
              <w:noProof/>
            </w:rPr>
            <w:drawing>
              <wp:inline distT="0" distB="0" distL="0" distR="0" wp14:anchorId="355EC61C" wp14:editId="0FE2EABB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4B1F8D0" w14:textId="77777777" w:rsidR="00102F85" w:rsidRPr="00377AD6" w:rsidRDefault="00102F85" w:rsidP="00786807">
          <w:pPr>
            <w:pStyle w:val="Heather"/>
            <w:rPr>
              <w:sz w:val="20"/>
            </w:rPr>
          </w:pPr>
        </w:p>
        <w:p w14:paraId="0AA304AE" w14:textId="77777777" w:rsidR="00102F85" w:rsidRPr="00377AD6" w:rsidRDefault="00102F85" w:rsidP="00786807">
          <w:pPr>
            <w:pStyle w:val="Heather"/>
            <w:rPr>
              <w:sz w:val="20"/>
            </w:rPr>
          </w:pPr>
          <w:r w:rsidRPr="00377AD6">
            <w:rPr>
              <w:sz w:val="20"/>
            </w:rPr>
            <w:t>Bases de Licitación SLP-1/201</w:t>
          </w:r>
          <w:r>
            <w:rPr>
              <w:sz w:val="20"/>
            </w:rPr>
            <w:t>7</w:t>
          </w:r>
        </w:p>
        <w:p w14:paraId="2AF734C5" w14:textId="77777777" w:rsidR="00102F85" w:rsidRDefault="00102F85" w:rsidP="00786807">
          <w:pPr>
            <w:pStyle w:val="Heather"/>
            <w:rPr>
              <w:sz w:val="20"/>
            </w:rPr>
          </w:pPr>
          <w:r>
            <w:rPr>
              <w:sz w:val="20"/>
            </w:rPr>
            <w:t xml:space="preserve">ANEXO </w:t>
          </w:r>
          <w:r w:rsidRPr="007C4804">
            <w:rPr>
              <w:sz w:val="20"/>
            </w:rPr>
            <w:t>VI.2</w:t>
          </w:r>
        </w:p>
        <w:p w14:paraId="68B02DD3" w14:textId="373AF949" w:rsidR="00102F85" w:rsidRPr="00377AD6" w:rsidRDefault="00A91A0E" w:rsidP="00726E7A">
          <w:pPr>
            <w:pStyle w:val="Heather"/>
            <w:rPr>
              <w:sz w:val="20"/>
            </w:rPr>
          </w:pPr>
          <w:r>
            <w:rPr>
              <w:sz w:val="20"/>
            </w:rPr>
            <w:t>27 de junio</w:t>
          </w:r>
          <w:r w:rsidR="007410BB" w:rsidRPr="007410BB">
            <w:rPr>
              <w:sz w:val="20"/>
            </w:rPr>
            <w:t xml:space="preserve"> de 2017</w:t>
          </w:r>
        </w:p>
      </w:tc>
    </w:tr>
  </w:tbl>
  <w:p w14:paraId="6D5E2104" w14:textId="77777777" w:rsidR="00102F85" w:rsidRPr="002E2770" w:rsidRDefault="00102F85" w:rsidP="002E2770">
    <w:pPr>
      <w:pStyle w:val="Encabezado"/>
    </w:pPr>
  </w:p>
  <w:p w14:paraId="4F25923C" w14:textId="77777777" w:rsidR="00102F85" w:rsidRDefault="00102F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1"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es-MX" w:vendorID="64" w:dllVersion="6" w:nlCheck="1" w:checkStyle="0"/>
  <w:activeWritingStyle w:appName="MSWord" w:lang="es-E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24"/>
    <w:rsid w:val="00001F5A"/>
    <w:rsid w:val="00007D5B"/>
    <w:rsid w:val="000111E8"/>
    <w:rsid w:val="00012A42"/>
    <w:rsid w:val="00020BE9"/>
    <w:rsid w:val="00023FDE"/>
    <w:rsid w:val="00025505"/>
    <w:rsid w:val="00026EF8"/>
    <w:rsid w:val="00030FA7"/>
    <w:rsid w:val="000468AF"/>
    <w:rsid w:val="00046AF3"/>
    <w:rsid w:val="00050D16"/>
    <w:rsid w:val="0005182C"/>
    <w:rsid w:val="000643A3"/>
    <w:rsid w:val="00070CDB"/>
    <w:rsid w:val="00082AD8"/>
    <w:rsid w:val="0008366A"/>
    <w:rsid w:val="00083B96"/>
    <w:rsid w:val="00085CFF"/>
    <w:rsid w:val="00086237"/>
    <w:rsid w:val="00090755"/>
    <w:rsid w:val="000934C4"/>
    <w:rsid w:val="000B42E5"/>
    <w:rsid w:val="000B698E"/>
    <w:rsid w:val="000C50D4"/>
    <w:rsid w:val="000C7F5F"/>
    <w:rsid w:val="000D237F"/>
    <w:rsid w:val="000D2647"/>
    <w:rsid w:val="000E6BF1"/>
    <w:rsid w:val="000F0FA3"/>
    <w:rsid w:val="000F1398"/>
    <w:rsid w:val="000F3ABE"/>
    <w:rsid w:val="000F706A"/>
    <w:rsid w:val="00102F85"/>
    <w:rsid w:val="00103100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5874"/>
    <w:rsid w:val="001960D4"/>
    <w:rsid w:val="001A0CC4"/>
    <w:rsid w:val="001A1953"/>
    <w:rsid w:val="001A1CAD"/>
    <w:rsid w:val="001A2BCE"/>
    <w:rsid w:val="001A2DC6"/>
    <w:rsid w:val="001B1144"/>
    <w:rsid w:val="001B179B"/>
    <w:rsid w:val="001B6981"/>
    <w:rsid w:val="001C05D7"/>
    <w:rsid w:val="001C1DC9"/>
    <w:rsid w:val="001C4F83"/>
    <w:rsid w:val="001D2EAE"/>
    <w:rsid w:val="001D5D80"/>
    <w:rsid w:val="001E675A"/>
    <w:rsid w:val="001E6CB1"/>
    <w:rsid w:val="001E7F28"/>
    <w:rsid w:val="001F09BB"/>
    <w:rsid w:val="001F4D07"/>
    <w:rsid w:val="001F6325"/>
    <w:rsid w:val="0020245C"/>
    <w:rsid w:val="0021153F"/>
    <w:rsid w:val="00211D08"/>
    <w:rsid w:val="002173A4"/>
    <w:rsid w:val="00217EB8"/>
    <w:rsid w:val="002214D8"/>
    <w:rsid w:val="00221536"/>
    <w:rsid w:val="0025082C"/>
    <w:rsid w:val="00254852"/>
    <w:rsid w:val="00255299"/>
    <w:rsid w:val="0025702E"/>
    <w:rsid w:val="00261F21"/>
    <w:rsid w:val="0027512D"/>
    <w:rsid w:val="002772C9"/>
    <w:rsid w:val="00282554"/>
    <w:rsid w:val="00285BE5"/>
    <w:rsid w:val="00286668"/>
    <w:rsid w:val="00286818"/>
    <w:rsid w:val="00290296"/>
    <w:rsid w:val="0029033A"/>
    <w:rsid w:val="00291CA7"/>
    <w:rsid w:val="0029250D"/>
    <w:rsid w:val="002940B6"/>
    <w:rsid w:val="0029499D"/>
    <w:rsid w:val="002B00EE"/>
    <w:rsid w:val="002B127D"/>
    <w:rsid w:val="002B2B91"/>
    <w:rsid w:val="002B37B4"/>
    <w:rsid w:val="002B3857"/>
    <w:rsid w:val="002C09F4"/>
    <w:rsid w:val="002C0E98"/>
    <w:rsid w:val="002C3644"/>
    <w:rsid w:val="002C52F3"/>
    <w:rsid w:val="002D476D"/>
    <w:rsid w:val="002E0094"/>
    <w:rsid w:val="002E2770"/>
    <w:rsid w:val="002E7730"/>
    <w:rsid w:val="002F6279"/>
    <w:rsid w:val="002F666A"/>
    <w:rsid w:val="00300349"/>
    <w:rsid w:val="0030321A"/>
    <w:rsid w:val="00306951"/>
    <w:rsid w:val="0031281C"/>
    <w:rsid w:val="00323864"/>
    <w:rsid w:val="0032394E"/>
    <w:rsid w:val="003264DE"/>
    <w:rsid w:val="00326B04"/>
    <w:rsid w:val="00330780"/>
    <w:rsid w:val="003340A4"/>
    <w:rsid w:val="00343791"/>
    <w:rsid w:val="00357A6B"/>
    <w:rsid w:val="0036258B"/>
    <w:rsid w:val="00362E7A"/>
    <w:rsid w:val="0036410B"/>
    <w:rsid w:val="003656C6"/>
    <w:rsid w:val="00367E4A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442F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47082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C5A02"/>
    <w:rsid w:val="004D0387"/>
    <w:rsid w:val="004D4A72"/>
    <w:rsid w:val="004E0F7D"/>
    <w:rsid w:val="004E0FEF"/>
    <w:rsid w:val="004E42C9"/>
    <w:rsid w:val="004E6B1F"/>
    <w:rsid w:val="004E77FB"/>
    <w:rsid w:val="004E7B07"/>
    <w:rsid w:val="004F3FE9"/>
    <w:rsid w:val="004F6559"/>
    <w:rsid w:val="00502367"/>
    <w:rsid w:val="00506675"/>
    <w:rsid w:val="00511ACA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49C1"/>
    <w:rsid w:val="0054733E"/>
    <w:rsid w:val="0055349C"/>
    <w:rsid w:val="005557EE"/>
    <w:rsid w:val="0055663D"/>
    <w:rsid w:val="0056010D"/>
    <w:rsid w:val="00567317"/>
    <w:rsid w:val="005724B9"/>
    <w:rsid w:val="005757B2"/>
    <w:rsid w:val="00580CCB"/>
    <w:rsid w:val="005826A1"/>
    <w:rsid w:val="005846F1"/>
    <w:rsid w:val="0058481D"/>
    <w:rsid w:val="0059022E"/>
    <w:rsid w:val="005A0210"/>
    <w:rsid w:val="005A0268"/>
    <w:rsid w:val="005A0954"/>
    <w:rsid w:val="005B3F58"/>
    <w:rsid w:val="005C4019"/>
    <w:rsid w:val="005C7110"/>
    <w:rsid w:val="005C75DE"/>
    <w:rsid w:val="005D021D"/>
    <w:rsid w:val="005D2000"/>
    <w:rsid w:val="005D3024"/>
    <w:rsid w:val="005D49DA"/>
    <w:rsid w:val="005D7D14"/>
    <w:rsid w:val="005E235A"/>
    <w:rsid w:val="005E4C26"/>
    <w:rsid w:val="005E5CA1"/>
    <w:rsid w:val="005F4AC0"/>
    <w:rsid w:val="00617E6B"/>
    <w:rsid w:val="006231E1"/>
    <w:rsid w:val="00627360"/>
    <w:rsid w:val="00627D1A"/>
    <w:rsid w:val="0063024B"/>
    <w:rsid w:val="00633378"/>
    <w:rsid w:val="0063495E"/>
    <w:rsid w:val="00634C63"/>
    <w:rsid w:val="00634FAB"/>
    <w:rsid w:val="006450D0"/>
    <w:rsid w:val="00656CFF"/>
    <w:rsid w:val="00666407"/>
    <w:rsid w:val="00670946"/>
    <w:rsid w:val="006711A8"/>
    <w:rsid w:val="00674139"/>
    <w:rsid w:val="00681BC5"/>
    <w:rsid w:val="00686752"/>
    <w:rsid w:val="00691836"/>
    <w:rsid w:val="0069357B"/>
    <w:rsid w:val="00697B7C"/>
    <w:rsid w:val="006A6266"/>
    <w:rsid w:val="006B7539"/>
    <w:rsid w:val="006C30AE"/>
    <w:rsid w:val="006D2E40"/>
    <w:rsid w:val="006D58C5"/>
    <w:rsid w:val="006D67BD"/>
    <w:rsid w:val="006E2487"/>
    <w:rsid w:val="006E3470"/>
    <w:rsid w:val="006E4EE3"/>
    <w:rsid w:val="006E66EC"/>
    <w:rsid w:val="006F785A"/>
    <w:rsid w:val="00701BCF"/>
    <w:rsid w:val="0070415B"/>
    <w:rsid w:val="00717A6D"/>
    <w:rsid w:val="00723D5B"/>
    <w:rsid w:val="00724703"/>
    <w:rsid w:val="00726436"/>
    <w:rsid w:val="00726E7A"/>
    <w:rsid w:val="00735E9D"/>
    <w:rsid w:val="00737435"/>
    <w:rsid w:val="007410BB"/>
    <w:rsid w:val="00741ABD"/>
    <w:rsid w:val="00746DFC"/>
    <w:rsid w:val="00746FC8"/>
    <w:rsid w:val="00752713"/>
    <w:rsid w:val="007570C1"/>
    <w:rsid w:val="007578BE"/>
    <w:rsid w:val="00760A95"/>
    <w:rsid w:val="00762751"/>
    <w:rsid w:val="0078048A"/>
    <w:rsid w:val="00783ECE"/>
    <w:rsid w:val="00786807"/>
    <w:rsid w:val="00793D07"/>
    <w:rsid w:val="00796B98"/>
    <w:rsid w:val="00797AB4"/>
    <w:rsid w:val="007A0956"/>
    <w:rsid w:val="007A148D"/>
    <w:rsid w:val="007A3FCE"/>
    <w:rsid w:val="007A50EF"/>
    <w:rsid w:val="007C148B"/>
    <w:rsid w:val="007C4804"/>
    <w:rsid w:val="007C657E"/>
    <w:rsid w:val="007D00B8"/>
    <w:rsid w:val="007D0C3B"/>
    <w:rsid w:val="007D286A"/>
    <w:rsid w:val="007D57FB"/>
    <w:rsid w:val="007D7AC4"/>
    <w:rsid w:val="00800388"/>
    <w:rsid w:val="008004A5"/>
    <w:rsid w:val="0081022A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46453"/>
    <w:rsid w:val="00857D36"/>
    <w:rsid w:val="008651ED"/>
    <w:rsid w:val="00873A08"/>
    <w:rsid w:val="00875A59"/>
    <w:rsid w:val="00877B39"/>
    <w:rsid w:val="008825D2"/>
    <w:rsid w:val="00883ABE"/>
    <w:rsid w:val="008918DC"/>
    <w:rsid w:val="008922B8"/>
    <w:rsid w:val="00892FFB"/>
    <w:rsid w:val="0089558E"/>
    <w:rsid w:val="008A0F8C"/>
    <w:rsid w:val="008A1B84"/>
    <w:rsid w:val="008A23F3"/>
    <w:rsid w:val="008A5394"/>
    <w:rsid w:val="008A7165"/>
    <w:rsid w:val="008B3D9C"/>
    <w:rsid w:val="008B588C"/>
    <w:rsid w:val="008B5BD2"/>
    <w:rsid w:val="008C0082"/>
    <w:rsid w:val="008C46C1"/>
    <w:rsid w:val="008D06EA"/>
    <w:rsid w:val="008D17A5"/>
    <w:rsid w:val="008E35DF"/>
    <w:rsid w:val="008E4EB3"/>
    <w:rsid w:val="008F2394"/>
    <w:rsid w:val="008F2569"/>
    <w:rsid w:val="008F5142"/>
    <w:rsid w:val="008F7A18"/>
    <w:rsid w:val="00903509"/>
    <w:rsid w:val="00906505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63609"/>
    <w:rsid w:val="00975511"/>
    <w:rsid w:val="009855BF"/>
    <w:rsid w:val="00991EC3"/>
    <w:rsid w:val="009932CA"/>
    <w:rsid w:val="009A0D96"/>
    <w:rsid w:val="009A7654"/>
    <w:rsid w:val="009A7CA1"/>
    <w:rsid w:val="009B6C3E"/>
    <w:rsid w:val="009C02DA"/>
    <w:rsid w:val="009C6314"/>
    <w:rsid w:val="009E1274"/>
    <w:rsid w:val="009E1AC6"/>
    <w:rsid w:val="009E3B35"/>
    <w:rsid w:val="009E5733"/>
    <w:rsid w:val="009E63EA"/>
    <w:rsid w:val="009F050F"/>
    <w:rsid w:val="00A06351"/>
    <w:rsid w:val="00A1299D"/>
    <w:rsid w:val="00A13DE3"/>
    <w:rsid w:val="00A15F56"/>
    <w:rsid w:val="00A31E9B"/>
    <w:rsid w:val="00A31FCD"/>
    <w:rsid w:val="00A32EEE"/>
    <w:rsid w:val="00A333DC"/>
    <w:rsid w:val="00A37495"/>
    <w:rsid w:val="00A37975"/>
    <w:rsid w:val="00A4049A"/>
    <w:rsid w:val="00A53D31"/>
    <w:rsid w:val="00A6116A"/>
    <w:rsid w:val="00A612B3"/>
    <w:rsid w:val="00A7010C"/>
    <w:rsid w:val="00A73F8A"/>
    <w:rsid w:val="00A75781"/>
    <w:rsid w:val="00A76032"/>
    <w:rsid w:val="00A8099D"/>
    <w:rsid w:val="00A81D62"/>
    <w:rsid w:val="00A84922"/>
    <w:rsid w:val="00A90AE8"/>
    <w:rsid w:val="00A91A0E"/>
    <w:rsid w:val="00A971BB"/>
    <w:rsid w:val="00AA7550"/>
    <w:rsid w:val="00AB7088"/>
    <w:rsid w:val="00AC2AA2"/>
    <w:rsid w:val="00AC58EC"/>
    <w:rsid w:val="00AD24D5"/>
    <w:rsid w:val="00AD54E0"/>
    <w:rsid w:val="00AE00D6"/>
    <w:rsid w:val="00AF2641"/>
    <w:rsid w:val="00AF461D"/>
    <w:rsid w:val="00AF6758"/>
    <w:rsid w:val="00AF6B7A"/>
    <w:rsid w:val="00B00632"/>
    <w:rsid w:val="00B010E3"/>
    <w:rsid w:val="00B042B4"/>
    <w:rsid w:val="00B073A2"/>
    <w:rsid w:val="00B14C29"/>
    <w:rsid w:val="00B16746"/>
    <w:rsid w:val="00B170E8"/>
    <w:rsid w:val="00B17DFA"/>
    <w:rsid w:val="00B220E4"/>
    <w:rsid w:val="00B3769E"/>
    <w:rsid w:val="00B46D7F"/>
    <w:rsid w:val="00B46EBA"/>
    <w:rsid w:val="00B47DDF"/>
    <w:rsid w:val="00B537A8"/>
    <w:rsid w:val="00B574AE"/>
    <w:rsid w:val="00B63531"/>
    <w:rsid w:val="00B652B8"/>
    <w:rsid w:val="00B7008A"/>
    <w:rsid w:val="00B7106D"/>
    <w:rsid w:val="00B717B3"/>
    <w:rsid w:val="00B859B6"/>
    <w:rsid w:val="00B92A63"/>
    <w:rsid w:val="00BB1CCD"/>
    <w:rsid w:val="00BB26D3"/>
    <w:rsid w:val="00BD1AB5"/>
    <w:rsid w:val="00BD3D1A"/>
    <w:rsid w:val="00BD4C46"/>
    <w:rsid w:val="00BD74F8"/>
    <w:rsid w:val="00BE339B"/>
    <w:rsid w:val="00BF091C"/>
    <w:rsid w:val="00BF1DD5"/>
    <w:rsid w:val="00BF7189"/>
    <w:rsid w:val="00C009E0"/>
    <w:rsid w:val="00C01B5D"/>
    <w:rsid w:val="00C032FC"/>
    <w:rsid w:val="00C04F24"/>
    <w:rsid w:val="00C05E7B"/>
    <w:rsid w:val="00C07B62"/>
    <w:rsid w:val="00C15219"/>
    <w:rsid w:val="00C258E4"/>
    <w:rsid w:val="00C27213"/>
    <w:rsid w:val="00C337E2"/>
    <w:rsid w:val="00C35124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036"/>
    <w:rsid w:val="00CD6850"/>
    <w:rsid w:val="00CE06BF"/>
    <w:rsid w:val="00CF0B12"/>
    <w:rsid w:val="00CF3B2E"/>
    <w:rsid w:val="00CF6193"/>
    <w:rsid w:val="00CF698C"/>
    <w:rsid w:val="00D04785"/>
    <w:rsid w:val="00D11378"/>
    <w:rsid w:val="00D149EB"/>
    <w:rsid w:val="00D32C7D"/>
    <w:rsid w:val="00D34588"/>
    <w:rsid w:val="00D3478E"/>
    <w:rsid w:val="00D34D1C"/>
    <w:rsid w:val="00D36C73"/>
    <w:rsid w:val="00D42FD2"/>
    <w:rsid w:val="00D43106"/>
    <w:rsid w:val="00D54C2F"/>
    <w:rsid w:val="00D60AAD"/>
    <w:rsid w:val="00D613D8"/>
    <w:rsid w:val="00D64953"/>
    <w:rsid w:val="00D70C38"/>
    <w:rsid w:val="00D71E89"/>
    <w:rsid w:val="00D72BA1"/>
    <w:rsid w:val="00D8264E"/>
    <w:rsid w:val="00D87572"/>
    <w:rsid w:val="00D90EF6"/>
    <w:rsid w:val="00D9281F"/>
    <w:rsid w:val="00D965C3"/>
    <w:rsid w:val="00D97756"/>
    <w:rsid w:val="00DA0A97"/>
    <w:rsid w:val="00DB1596"/>
    <w:rsid w:val="00DB1BD4"/>
    <w:rsid w:val="00DB3001"/>
    <w:rsid w:val="00DB4A71"/>
    <w:rsid w:val="00DC4962"/>
    <w:rsid w:val="00DC61FE"/>
    <w:rsid w:val="00DC649E"/>
    <w:rsid w:val="00DD01F4"/>
    <w:rsid w:val="00DE0A9F"/>
    <w:rsid w:val="00DE4C7A"/>
    <w:rsid w:val="00DE68B4"/>
    <w:rsid w:val="00DF4336"/>
    <w:rsid w:val="00DF6036"/>
    <w:rsid w:val="00DF6BC3"/>
    <w:rsid w:val="00DF7D59"/>
    <w:rsid w:val="00E0094D"/>
    <w:rsid w:val="00E01296"/>
    <w:rsid w:val="00E21F6A"/>
    <w:rsid w:val="00E30B22"/>
    <w:rsid w:val="00E3798A"/>
    <w:rsid w:val="00E404A2"/>
    <w:rsid w:val="00E41783"/>
    <w:rsid w:val="00E42835"/>
    <w:rsid w:val="00E460F3"/>
    <w:rsid w:val="00E50177"/>
    <w:rsid w:val="00E5027B"/>
    <w:rsid w:val="00E5130F"/>
    <w:rsid w:val="00E542D9"/>
    <w:rsid w:val="00E54E0B"/>
    <w:rsid w:val="00E5626A"/>
    <w:rsid w:val="00E772E5"/>
    <w:rsid w:val="00E82585"/>
    <w:rsid w:val="00E8621C"/>
    <w:rsid w:val="00E90E7F"/>
    <w:rsid w:val="00E92D13"/>
    <w:rsid w:val="00EA0ABD"/>
    <w:rsid w:val="00EA4096"/>
    <w:rsid w:val="00EA46E7"/>
    <w:rsid w:val="00EA6075"/>
    <w:rsid w:val="00EA61B9"/>
    <w:rsid w:val="00EB1636"/>
    <w:rsid w:val="00EB3C2A"/>
    <w:rsid w:val="00EB4433"/>
    <w:rsid w:val="00EB454A"/>
    <w:rsid w:val="00EC5A38"/>
    <w:rsid w:val="00ED4A59"/>
    <w:rsid w:val="00ED6429"/>
    <w:rsid w:val="00ED64C0"/>
    <w:rsid w:val="00EE44E1"/>
    <w:rsid w:val="00EE6353"/>
    <w:rsid w:val="00EF1962"/>
    <w:rsid w:val="00EF21C1"/>
    <w:rsid w:val="00EF226B"/>
    <w:rsid w:val="00F007E0"/>
    <w:rsid w:val="00F00937"/>
    <w:rsid w:val="00F033D1"/>
    <w:rsid w:val="00F0429A"/>
    <w:rsid w:val="00F049B3"/>
    <w:rsid w:val="00F1537B"/>
    <w:rsid w:val="00F20EB8"/>
    <w:rsid w:val="00F22399"/>
    <w:rsid w:val="00F315C9"/>
    <w:rsid w:val="00F31F2D"/>
    <w:rsid w:val="00F32DE8"/>
    <w:rsid w:val="00F36B2D"/>
    <w:rsid w:val="00F42E31"/>
    <w:rsid w:val="00F512E2"/>
    <w:rsid w:val="00F51E5E"/>
    <w:rsid w:val="00F64B32"/>
    <w:rsid w:val="00F64CA4"/>
    <w:rsid w:val="00F70C4B"/>
    <w:rsid w:val="00F73A6C"/>
    <w:rsid w:val="00F76B05"/>
    <w:rsid w:val="00F808C0"/>
    <w:rsid w:val="00F82D74"/>
    <w:rsid w:val="00F83712"/>
    <w:rsid w:val="00F83DEC"/>
    <w:rsid w:val="00F84AC0"/>
    <w:rsid w:val="00F859B1"/>
    <w:rsid w:val="00F85CA3"/>
    <w:rsid w:val="00F95C29"/>
    <w:rsid w:val="00F95C77"/>
    <w:rsid w:val="00F975FE"/>
    <w:rsid w:val="00FA134B"/>
    <w:rsid w:val="00FA1F8D"/>
    <w:rsid w:val="00FA672D"/>
    <w:rsid w:val="00FB2AB3"/>
    <w:rsid w:val="00FB5BD7"/>
    <w:rsid w:val="00FC03A2"/>
    <w:rsid w:val="00FC3CE9"/>
    <w:rsid w:val="00FC3E3F"/>
    <w:rsid w:val="00FC5892"/>
    <w:rsid w:val="00FC5DD1"/>
    <w:rsid w:val="00FD03D0"/>
    <w:rsid w:val="00FD0D2C"/>
    <w:rsid w:val="00FD44E8"/>
    <w:rsid w:val="00FD7200"/>
    <w:rsid w:val="00FE466E"/>
    <w:rsid w:val="00FE5BD5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53C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711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numPr>
        <w:ilvl w:val="6"/>
        <w:numId w:val="11"/>
      </w:numPr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numPr>
        <w:ilvl w:val="7"/>
        <w:numId w:val="11"/>
      </w:numPr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numPr>
        <w:ilvl w:val="8"/>
        <w:numId w:val="11"/>
      </w:numPr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tulo">
    <w:name w:val="Title"/>
    <w:basedOn w:val="Normal"/>
    <w:next w:val="Subttulo"/>
    <w:link w:val="Ttul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tuloCar">
    <w:name w:val="Título Car"/>
    <w:link w:val="Ttul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qFormat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0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0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uiPriority w:val="39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9499D"/>
    <w:rPr>
      <w:color w:val="808080"/>
    </w:rPr>
  </w:style>
  <w:style w:type="paragraph" w:customStyle="1" w:styleId="Estilo1">
    <w:name w:val="Estilo 1"/>
    <w:basedOn w:val="Seccin"/>
    <w:autoRedefine/>
    <w:qFormat/>
    <w:rsid w:val="002E2770"/>
    <w:pPr>
      <w:numPr>
        <w:numId w:val="11"/>
      </w:numPr>
    </w:pPr>
    <w:rPr>
      <w:rFonts w:asciiTheme="minorHAnsi" w:eastAsiaTheme="minorEastAsia" w:hAnsiTheme="minorHAnsi"/>
      <w:szCs w:val="22"/>
      <w:lang w:eastAsia="en-US" w:bidi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387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387"/>
    <w:pPr>
      <w:jc w:val="left"/>
    </w:pPr>
    <w:rPr>
      <w:rFonts w:ascii="Times New Roman" w:hAnsi="Times New Roman" w:cs="Times New Roman"/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387"/>
    <w:rPr>
      <w:rFonts w:ascii="Arial" w:hAnsi="Arial" w:cs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2301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2017-06-28T02:24:00Z</dcterms:created>
  <dcterms:modified xsi:type="dcterms:W3CDTF">2017-06-28T02:24:00Z</dcterms:modified>
</cp:coreProperties>
</file>